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bookmarkStart w:id="0" w:name="_GoBack"/>
            <w:bookmarkEnd w:id="0"/>
            <w:r>
              <w:rPr>
                <w:rtl/>
              </w:rPr>
              <w:t xml:space="preserve"> </w:t>
            </w:r>
            <w:r w:rsidR="00AC5857">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E0688C" w:rsidRDefault="00CB66DA">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FA7FD0" w:rsidRDefault="00FA7FD0" w:rsidP="00D44968">
            <w:pPr>
              <w:suppressLineNumbers/>
              <w:rPr>
                <w:rtl/>
              </w:rPr>
            </w:pPr>
          </w:p>
          <w:p w:rsidR="0094424E" w:rsidRDefault="00B5099E" w:rsidP="00DB145D">
            <w:pPr>
              <w:suppressLineNumbers/>
              <w:spacing w:line="360" w:lineRule="auto"/>
              <w:rPr>
                <w:b/>
                <w:bCs/>
                <w:noProof w:val="0"/>
                <w:sz w:val="26"/>
                <w:szCs w:val="26"/>
              </w:rPr>
            </w:pPr>
            <w:sdt>
              <w:sdtPr>
                <w:rPr>
                  <w:rFonts w:ascii="Arial" w:hAnsi="Arial"/>
                  <w:b/>
                  <w:bCs/>
                  <w:sz w:val="26"/>
                  <w:szCs w:val="26"/>
                  <w:rtl/>
                </w:rPr>
                <w:alias w:val="3151"/>
                <w:tag w:val="3151"/>
                <w:id w:val="1166218717"/>
                <w:placeholder>
                  <w:docPart w:val="1C8A38705F7143EA87FF3DEB2C34E7E5"/>
                </w:placeholder>
                <w:text w:multiLine="1"/>
              </w:sdtPr>
              <w:sdtEndPr/>
              <w:sdtContent>
                <w:r w:rsidR="00DB145D">
                  <w:rPr>
                    <w:rFonts w:ascii="Arial" w:hAnsi="Arial" w:hint="cs"/>
                    <w:b/>
                    <w:bCs/>
                    <w:sz w:val="26"/>
                    <w:szCs w:val="26"/>
                    <w:rtl/>
                  </w:rPr>
                  <w:t>מ. ע</w:t>
                </w:r>
                <w:r w:rsidR="00CB66DA">
                  <w:rPr>
                    <w:rFonts w:ascii="Arial" w:hAnsi="Arial"/>
                    <w:b/>
                    <w:bCs/>
                    <w:sz w:val="26"/>
                    <w:szCs w:val="26"/>
                    <w:rtl/>
                  </w:rPr>
                  <w:br/>
                </w:r>
                <w:r w:rsidR="00CB66DA" w:rsidRPr="003D46A5">
                  <w:rPr>
                    <w:rFonts w:ascii="Arial" w:hAnsi="Arial"/>
                    <w:b/>
                    <w:bCs/>
                    <w:sz w:val="26"/>
                    <w:szCs w:val="26"/>
                    <w:rtl/>
                  </w:rPr>
                  <w:t>ע"י ב"כ עוה"ד סוהיר ס. זידאן</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5099E" w:rsidP="00CB66DA">
            <w:pPr>
              <w:suppressLineNumbers/>
              <w:spacing w:before="120" w:line="360" w:lineRule="auto"/>
              <w:rPr>
                <w:rFonts w:ascii="Arial" w:hAnsi="Arial"/>
                <w:b/>
                <w:bCs/>
                <w:noProof w:val="0"/>
                <w:sz w:val="26"/>
                <w:szCs w:val="26"/>
              </w:rPr>
            </w:pPr>
            <w:sdt>
              <w:sdtPr>
                <w:rPr>
                  <w:b/>
                  <w:bCs/>
                  <w:sz w:val="26"/>
                  <w:szCs w:val="26"/>
                  <w:rtl/>
                </w:rPr>
                <w:alias w:val="1184"/>
                <w:tag w:val="1184"/>
                <w:id w:val="-340621022"/>
                <w:text w:multiLine="1"/>
              </w:sdtPr>
              <w:sdtEndPr/>
              <w:sdtContent>
                <w:r w:rsidR="00CB66DA" w:rsidRPr="00CB66DA">
                  <w:rPr>
                    <w:rFonts w:ascii="Arial" w:hAnsi="Arial"/>
                    <w:b/>
                    <w:bCs/>
                    <w:noProof w:val="0"/>
                    <w:sz w:val="26"/>
                    <w:szCs w:val="26"/>
                    <w:rtl/>
                  </w:rPr>
                  <w:t>משיב</w:t>
                </w:r>
                <w:r w:rsidR="00CB66DA" w:rsidRPr="00CB66DA">
                  <w:rPr>
                    <w:rFonts w:ascii="Arial" w:hAnsi="Arial" w:hint="cs"/>
                    <w:b/>
                    <w:bCs/>
                    <w:noProof w:val="0"/>
                    <w:sz w:val="26"/>
                    <w:szCs w:val="26"/>
                    <w:rtl/>
                  </w:rPr>
                  <w:t>ות</w:t>
                </w:r>
                <w:r w:rsidR="00CB66DA" w:rsidRPr="00CB66DA">
                  <w:rPr>
                    <w:rFonts w:ascii="Arial" w:hAnsi="Arial"/>
                    <w:b/>
                    <w:bCs/>
                    <w:noProof w:val="0"/>
                    <w:sz w:val="26"/>
                    <w:szCs w:val="26"/>
                    <w:rtl/>
                  </w:rPr>
                  <w:br/>
                </w:r>
                <w:r w:rsidR="00CB66DA" w:rsidRPr="00CB66DA">
                  <w:rPr>
                    <w:b/>
                    <w:bCs/>
                    <w:sz w:val="26"/>
                    <w:szCs w:val="26"/>
                    <w:rtl/>
                  </w:rPr>
                  <w:br/>
                </w:r>
                <w:r w:rsidR="00CB66DA" w:rsidRPr="00CB66DA">
                  <w:rPr>
                    <w:b/>
                    <w:bCs/>
                    <w:sz w:val="26"/>
                    <w:szCs w:val="26"/>
                    <w:rtl/>
                  </w:rPr>
                  <w:br/>
                </w:r>
                <w:r w:rsidR="00CB66DA" w:rsidRPr="00CB66DA">
                  <w:rPr>
                    <w:b/>
                    <w:bCs/>
                    <w:sz w:val="26"/>
                    <w:szCs w:val="26"/>
                    <w:rtl/>
                  </w:rPr>
                  <w:br/>
                </w:r>
                <w:r w:rsidR="00CB66DA" w:rsidRPr="00CB66DA">
                  <w:rPr>
                    <w:rFonts w:hint="cs"/>
                    <w:b/>
                    <w:bCs/>
                    <w:sz w:val="26"/>
                    <w:szCs w:val="26"/>
                    <w:rtl/>
                  </w:rPr>
                  <w:t>בעניין הקטינה</w:t>
                </w:r>
              </w:sdtContent>
            </w:sdt>
          </w:p>
        </w:tc>
        <w:tc>
          <w:tcPr>
            <w:tcW w:w="5571" w:type="dxa"/>
          </w:tcPr>
          <w:p w:rsidR="00CF6BB7" w:rsidRPr="00CD516B" w:rsidRDefault="00B5099E" w:rsidP="00DB145D">
            <w:pPr>
              <w:suppressLineNumbers/>
              <w:spacing w:before="120" w:line="360" w:lineRule="auto"/>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DB145D">
                  <w:rPr>
                    <w:rFonts w:ascii="Arial" w:hAnsi="Arial"/>
                    <w:b/>
                    <w:bCs/>
                    <w:noProof w:val="0"/>
                    <w:sz w:val="26"/>
                    <w:szCs w:val="26"/>
                    <w:rtl/>
                  </w:rPr>
                  <w:t>1. ר</w:t>
                </w:r>
                <w:r w:rsidR="00DB145D">
                  <w:rPr>
                    <w:rFonts w:ascii="Arial" w:hAnsi="Arial" w:hint="cs"/>
                    <w:b/>
                    <w:bCs/>
                    <w:noProof w:val="0"/>
                    <w:sz w:val="26"/>
                    <w:szCs w:val="26"/>
                    <w:rtl/>
                  </w:rPr>
                  <w:t>. מ. ע</w:t>
                </w:r>
                <w:r w:rsidR="00CB66DA">
                  <w:rPr>
                    <w:rFonts w:ascii="Arial" w:hAnsi="Arial"/>
                    <w:b/>
                    <w:bCs/>
                    <w:noProof w:val="0"/>
                    <w:sz w:val="26"/>
                    <w:szCs w:val="26"/>
                    <w:rtl/>
                  </w:rPr>
                  <w:br/>
                </w:r>
                <w:r w:rsidR="00CB66DA" w:rsidRPr="00CB66DA">
                  <w:rPr>
                    <w:rFonts w:ascii="Arial" w:hAnsi="Arial"/>
                    <w:b/>
                    <w:bCs/>
                    <w:noProof w:val="0"/>
                    <w:sz w:val="26"/>
                    <w:szCs w:val="26"/>
                    <w:rtl/>
                  </w:rPr>
                  <w:t>2. עו"ד עולא שתיוי – אפוטרופא לדין של הקטינה</w:t>
                </w:r>
                <w:r w:rsidR="00CB66DA">
                  <w:rPr>
                    <w:rFonts w:ascii="Arial" w:hAnsi="Arial"/>
                    <w:b/>
                    <w:bCs/>
                    <w:noProof w:val="0"/>
                    <w:sz w:val="26"/>
                    <w:szCs w:val="26"/>
                    <w:rtl/>
                  </w:rPr>
                  <w:br/>
                </w:r>
                <w:r w:rsidR="00CB66DA">
                  <w:rPr>
                    <w:rFonts w:ascii="Arial" w:hAnsi="Arial"/>
                    <w:b/>
                    <w:bCs/>
                    <w:noProof w:val="0"/>
                    <w:sz w:val="26"/>
                    <w:szCs w:val="26"/>
                    <w:rtl/>
                  </w:rPr>
                  <w:br/>
                </w:r>
                <w:r w:rsidR="00CB66DA">
                  <w:rPr>
                    <w:rFonts w:ascii="Arial" w:hAnsi="Arial"/>
                    <w:b/>
                    <w:bCs/>
                    <w:noProof w:val="0"/>
                    <w:sz w:val="26"/>
                    <w:szCs w:val="26"/>
                    <w:rtl/>
                  </w:rPr>
                  <w:br/>
                </w:r>
                <w:r w:rsidR="00DB145D">
                  <w:rPr>
                    <w:rFonts w:ascii="Arial" w:hAnsi="Arial" w:hint="cs"/>
                    <w:b/>
                    <w:bCs/>
                    <w:noProof w:val="0"/>
                    <w:sz w:val="26"/>
                    <w:szCs w:val="26"/>
                    <w:rtl/>
                  </w:rPr>
                  <w:t>א'</w:t>
                </w:r>
                <w:r w:rsidR="00CB66DA" w:rsidRPr="00CB66DA">
                  <w:rPr>
                    <w:rFonts w:ascii="Arial" w:hAnsi="Arial"/>
                    <w:b/>
                    <w:bCs/>
                    <w:noProof w:val="0"/>
                    <w:sz w:val="26"/>
                    <w:szCs w:val="26"/>
                    <w:rtl/>
                  </w:rPr>
                  <w:t xml:space="preserve">, ילידת </w:t>
                </w:r>
                <w:r w:rsidR="00DB145D">
                  <w:rPr>
                    <w:rFonts w:ascii="Arial" w:hAnsi="Arial" w:hint="cs"/>
                    <w:b/>
                    <w:bCs/>
                    <w:noProof w:val="0"/>
                    <w:sz w:val="26"/>
                    <w:szCs w:val="26"/>
                    <w:rtl/>
                  </w:rPr>
                  <w:t>2020</w:t>
                </w:r>
              </w:sdtContent>
            </w:sdt>
          </w:p>
        </w:tc>
      </w:tr>
    </w:tbl>
    <w:p w:rsidR="0094424E" w:rsidRDefault="0094424E" w:rsidP="00D44968">
      <w:pPr>
        <w:suppressLineNumbers/>
        <w:rPr>
          <w:rtl/>
        </w:rPr>
      </w:pPr>
    </w:p>
    <w:p w:rsidR="00CB66DA" w:rsidRDefault="00CB66DA"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CB66DA" w:rsidRDefault="00CB66DA" w:rsidP="00CB66DA">
      <w:pPr>
        <w:spacing w:after="120" w:line="360" w:lineRule="auto"/>
        <w:ind w:left="720" w:hanging="720"/>
        <w:jc w:val="both"/>
        <w:rPr>
          <w:rFonts w:ascii="Arial" w:hAnsi="Arial"/>
          <w:rtl/>
        </w:rPr>
      </w:pPr>
      <w:bookmarkStart w:id="1" w:name="NGCSBookmark"/>
      <w:bookmarkEnd w:id="1"/>
      <w:r>
        <w:rPr>
          <w:rFonts w:ascii="Arial" w:hAnsi="Arial"/>
          <w:rtl/>
        </w:rPr>
        <w:t>1.</w:t>
      </w:r>
      <w:r>
        <w:rPr>
          <w:rFonts w:ascii="Arial" w:hAnsi="Arial"/>
          <w:rtl/>
        </w:rPr>
        <w:tab/>
        <w:t xml:space="preserve">לפניי </w:t>
      </w:r>
      <w:r>
        <w:rPr>
          <w:rtl/>
        </w:rPr>
        <w:t xml:space="preserve">בקשת רשות ערעור על </w:t>
      </w:r>
      <w:r>
        <w:rPr>
          <w:rFonts w:hint="cs"/>
          <w:rtl/>
        </w:rPr>
        <w:t xml:space="preserve">שבע </w:t>
      </w:r>
      <w:r>
        <w:rPr>
          <w:rtl/>
        </w:rPr>
        <w:t>החלט</w:t>
      </w:r>
      <w:r>
        <w:rPr>
          <w:rFonts w:hint="cs"/>
          <w:rtl/>
        </w:rPr>
        <w:t>ו</w:t>
      </w:r>
      <w:r>
        <w:rPr>
          <w:rtl/>
        </w:rPr>
        <w:t>ת בית משפט לענייני משפחה ב</w:t>
      </w:r>
      <w:r>
        <w:rPr>
          <w:rFonts w:hint="cs"/>
          <w:rtl/>
        </w:rPr>
        <w:t>חיפה</w:t>
      </w:r>
      <w:r>
        <w:rPr>
          <w:rtl/>
        </w:rPr>
        <w:t xml:space="preserve"> (כב' השופטת </w:t>
      </w:r>
      <w:r>
        <w:rPr>
          <w:rFonts w:hint="cs"/>
          <w:rtl/>
        </w:rPr>
        <w:t>שושנה ברגר</w:t>
      </w:r>
      <w:r>
        <w:rPr>
          <w:rtl/>
        </w:rPr>
        <w:t xml:space="preserve">) </w:t>
      </w:r>
      <w:r>
        <w:rPr>
          <w:rFonts w:ascii="Arial" w:hAnsi="Arial"/>
          <w:rtl/>
        </w:rPr>
        <w:t>מי</w:t>
      </w:r>
      <w:r>
        <w:rPr>
          <w:rFonts w:ascii="Arial" w:hAnsi="Arial" w:hint="cs"/>
          <w:rtl/>
        </w:rPr>
        <w:t>מים: 3.11.2024; 7.11.2024 (שתי החלטות); 12.11.2024; 14.11.2024; 18.11.2024 ו- 27.11.2024.</w:t>
      </w:r>
    </w:p>
    <w:p w:rsidR="00CB66DA" w:rsidRDefault="00CB66DA" w:rsidP="00CB66DA">
      <w:pPr>
        <w:spacing w:after="120" w:line="360" w:lineRule="auto"/>
        <w:ind w:left="720" w:hanging="720"/>
        <w:jc w:val="both"/>
        <w:rPr>
          <w:rFonts w:ascii="Arial" w:hAnsi="Arial"/>
        </w:rPr>
      </w:pPr>
      <w:r>
        <w:rPr>
          <w:rFonts w:ascii="Arial" w:hAnsi="Arial"/>
          <w:rtl/>
        </w:rPr>
        <w:tab/>
      </w:r>
      <w:r>
        <w:rPr>
          <w:rFonts w:ascii="Arial" w:hAnsi="Arial" w:hint="cs"/>
          <w:rtl/>
        </w:rPr>
        <w:t xml:space="preserve">ההחלטות קמא הנ"ל </w:t>
      </w:r>
      <w:r>
        <w:rPr>
          <w:rFonts w:ascii="Arial" w:hAnsi="Arial"/>
          <w:rtl/>
        </w:rPr>
        <w:t>ניתנ</w:t>
      </w:r>
      <w:r>
        <w:rPr>
          <w:rFonts w:ascii="Arial" w:hAnsi="Arial" w:hint="cs"/>
          <w:rtl/>
        </w:rPr>
        <w:t>ו</w:t>
      </w:r>
      <w:r>
        <w:rPr>
          <w:rFonts w:ascii="Arial" w:hAnsi="Arial"/>
          <w:rtl/>
        </w:rPr>
        <w:t xml:space="preserve"> בתיק תלה"מ </w:t>
      </w:r>
      <w:r>
        <w:rPr>
          <w:rFonts w:ascii="Arial" w:hAnsi="Arial" w:hint="cs"/>
          <w:rtl/>
        </w:rPr>
        <w:t>18879</w:t>
      </w:r>
      <w:r>
        <w:rPr>
          <w:rFonts w:ascii="Arial" w:hAnsi="Arial"/>
          <w:rtl/>
        </w:rPr>
        <w:t>-</w:t>
      </w:r>
      <w:r>
        <w:rPr>
          <w:rFonts w:ascii="Arial" w:hAnsi="Arial" w:hint="cs"/>
          <w:rtl/>
        </w:rPr>
        <w:t>01</w:t>
      </w:r>
      <w:r>
        <w:rPr>
          <w:rFonts w:ascii="Arial" w:hAnsi="Arial"/>
          <w:rtl/>
        </w:rPr>
        <w:t>-</w:t>
      </w:r>
      <w:r>
        <w:rPr>
          <w:rFonts w:ascii="Arial" w:hAnsi="Arial" w:hint="cs"/>
          <w:rtl/>
        </w:rPr>
        <w:t>23</w:t>
      </w:r>
      <w:r>
        <w:rPr>
          <w:rFonts w:ascii="Arial" w:hAnsi="Arial"/>
          <w:rtl/>
        </w:rPr>
        <w:t xml:space="preserve"> (להל</w:t>
      </w:r>
      <w:r>
        <w:rPr>
          <w:rFonts w:ascii="Arial" w:hAnsi="Arial" w:hint="cs"/>
          <w:rtl/>
        </w:rPr>
        <w:t xml:space="preserve">ן: </w:t>
      </w:r>
      <w:r>
        <w:rPr>
          <w:rFonts w:ascii="Arial" w:hAnsi="Arial"/>
          <w:rtl/>
        </w:rPr>
        <w:t>"</w:t>
      </w:r>
      <w:r>
        <w:rPr>
          <w:rFonts w:ascii="Arial" w:hAnsi="Arial"/>
          <w:b/>
          <w:bCs/>
          <w:rtl/>
        </w:rPr>
        <w:t>התיק קמא</w:t>
      </w:r>
      <w:r>
        <w:rPr>
          <w:rFonts w:ascii="Arial" w:hAnsi="Arial"/>
          <w:rtl/>
        </w:rPr>
        <w:t xml:space="preserve">"), </w:t>
      </w:r>
      <w:r>
        <w:rPr>
          <w:rFonts w:ascii="Arial" w:hAnsi="Arial" w:hint="cs"/>
          <w:rtl/>
        </w:rPr>
        <w:t xml:space="preserve">וענייניהן </w:t>
      </w:r>
      <w:r>
        <w:rPr>
          <w:rFonts w:ascii="Arial" w:hAnsi="Arial"/>
          <w:rtl/>
        </w:rPr>
        <w:t>יפורט</w:t>
      </w:r>
      <w:r>
        <w:rPr>
          <w:rFonts w:ascii="Arial" w:hAnsi="Arial" w:hint="cs"/>
          <w:rtl/>
        </w:rPr>
        <w:t>ו</w:t>
      </w:r>
      <w:r>
        <w:rPr>
          <w:rFonts w:ascii="Arial" w:hAnsi="Arial"/>
          <w:rtl/>
        </w:rPr>
        <w:t xml:space="preserve"> להלן.</w:t>
      </w:r>
    </w:p>
    <w:p w:rsidR="00CB66DA" w:rsidRDefault="00CB66DA" w:rsidP="00CB66DA">
      <w:pPr>
        <w:spacing w:after="120" w:line="360" w:lineRule="auto"/>
        <w:ind w:left="720" w:hanging="720"/>
        <w:jc w:val="both"/>
        <w:rPr>
          <w:rtl/>
        </w:rPr>
      </w:pPr>
      <w:r>
        <w:rPr>
          <w:rFonts w:ascii="Arial" w:hAnsi="Arial"/>
          <w:rtl/>
        </w:rPr>
        <w:tab/>
      </w:r>
    </w:p>
    <w:p w:rsidR="00CB66DA" w:rsidRDefault="00CB66DA" w:rsidP="00CB66DA">
      <w:pPr>
        <w:spacing w:after="120" w:line="360" w:lineRule="auto"/>
        <w:ind w:left="720" w:hanging="720"/>
        <w:rPr>
          <w:b/>
          <w:bCs/>
          <w:u w:val="single"/>
          <w:rtl/>
        </w:rPr>
      </w:pPr>
      <w:r>
        <w:rPr>
          <w:b/>
          <w:bCs/>
          <w:u w:val="single"/>
          <w:rtl/>
        </w:rPr>
        <w:t>רקע בזעיר אנפין וההחלט</w:t>
      </w:r>
      <w:r>
        <w:rPr>
          <w:rFonts w:hint="cs"/>
          <w:b/>
          <w:bCs/>
          <w:u w:val="single"/>
          <w:rtl/>
        </w:rPr>
        <w:t>ות</w:t>
      </w:r>
      <w:r>
        <w:rPr>
          <w:b/>
          <w:bCs/>
          <w:u w:val="single"/>
          <w:rtl/>
        </w:rPr>
        <w:t xml:space="preserve"> קמא</w:t>
      </w:r>
    </w:p>
    <w:p w:rsidR="00CB66DA" w:rsidRDefault="00CB66DA" w:rsidP="00CB66DA">
      <w:pPr>
        <w:spacing w:after="120" w:line="360" w:lineRule="auto"/>
        <w:ind w:left="720" w:hanging="720"/>
        <w:jc w:val="both"/>
        <w:rPr>
          <w:rtl/>
        </w:rPr>
      </w:pPr>
      <w:r>
        <w:rPr>
          <w:rtl/>
        </w:rPr>
        <w:t>2.</w:t>
      </w:r>
      <w:r>
        <w:rPr>
          <w:rtl/>
        </w:rPr>
        <w:tab/>
        <w:t>המבקש והמשיב</w:t>
      </w:r>
      <w:r>
        <w:rPr>
          <w:rFonts w:hint="cs"/>
          <w:rtl/>
        </w:rPr>
        <w:t>ה</w:t>
      </w:r>
      <w:r>
        <w:rPr>
          <w:rtl/>
        </w:rPr>
        <w:t xml:space="preserve"> </w:t>
      </w:r>
      <w:r>
        <w:rPr>
          <w:rFonts w:hint="cs"/>
          <w:rtl/>
        </w:rPr>
        <w:t>(להלן גם: "</w:t>
      </w:r>
      <w:r w:rsidRPr="00491D01">
        <w:rPr>
          <w:rFonts w:hint="cs"/>
          <w:b/>
          <w:bCs/>
          <w:rtl/>
        </w:rPr>
        <w:t>הצדדים</w:t>
      </w:r>
      <w:r>
        <w:rPr>
          <w:rFonts w:hint="cs"/>
          <w:rtl/>
        </w:rPr>
        <w:t>") נישאו בשנת</w:t>
      </w:r>
      <w:r w:rsidR="00DB145D">
        <w:rPr>
          <w:rFonts w:hint="cs"/>
          <w:rtl/>
        </w:rPr>
        <w:t xml:space="preserve"> 2019 ובשנת 2020 נולדה בתם, א'</w:t>
      </w:r>
      <w:r>
        <w:rPr>
          <w:rFonts w:hint="cs"/>
          <w:rtl/>
        </w:rPr>
        <w:t xml:space="preserve"> (להלן: "</w:t>
      </w:r>
      <w:r w:rsidRPr="00491D01">
        <w:rPr>
          <w:rFonts w:hint="cs"/>
          <w:b/>
          <w:bCs/>
          <w:rtl/>
        </w:rPr>
        <w:t>הקטינה</w:t>
      </w:r>
      <w:r>
        <w:rPr>
          <w:rFonts w:hint="cs"/>
          <w:rtl/>
        </w:rPr>
        <w:t>")</w:t>
      </w:r>
      <w:r>
        <w:rPr>
          <w:rtl/>
        </w:rPr>
        <w:t>. נישואי</w:t>
      </w:r>
      <w:r>
        <w:rPr>
          <w:rFonts w:hint="cs"/>
          <w:rtl/>
        </w:rPr>
        <w:t xml:space="preserve"> הצדדים</w:t>
      </w:r>
      <w:r>
        <w:rPr>
          <w:rtl/>
        </w:rPr>
        <w:t xml:space="preserve"> עלו על שרטון, והם נפרדו </w:t>
      </w:r>
      <w:r>
        <w:rPr>
          <w:rFonts w:hint="cs"/>
          <w:rtl/>
        </w:rPr>
        <w:t>במחצית שנת 2022</w:t>
      </w:r>
      <w:r>
        <w:rPr>
          <w:rtl/>
        </w:rPr>
        <w:t xml:space="preserve">. </w:t>
      </w:r>
      <w:r>
        <w:rPr>
          <w:rFonts w:hint="cs"/>
          <w:rtl/>
        </w:rPr>
        <w:t>ביום 11.8.2022 פתח המבקש בהליך יישוב סכסוך.</w:t>
      </w:r>
    </w:p>
    <w:p w:rsidR="00CB66DA" w:rsidRDefault="00CB66DA" w:rsidP="00CB66DA">
      <w:pPr>
        <w:spacing w:after="120" w:line="360" w:lineRule="auto"/>
        <w:ind w:left="720" w:hanging="720"/>
        <w:jc w:val="both"/>
        <w:rPr>
          <w:rtl/>
        </w:rPr>
      </w:pPr>
      <w:r>
        <w:rPr>
          <w:rtl/>
        </w:rPr>
        <w:t>3.</w:t>
      </w:r>
      <w:r>
        <w:rPr>
          <w:rtl/>
        </w:rPr>
        <w:tab/>
        <w:t xml:space="preserve">המשיב הגיש את התובענה קמא ביום </w:t>
      </w:r>
      <w:r>
        <w:rPr>
          <w:rFonts w:hint="cs"/>
          <w:rtl/>
        </w:rPr>
        <w:t>8.1.2023</w:t>
      </w:r>
      <w:r>
        <w:rPr>
          <w:rtl/>
        </w:rPr>
        <w:t>, במסגרתה תבע</w:t>
      </w:r>
      <w:r>
        <w:rPr>
          <w:rFonts w:hint="cs"/>
          <w:rtl/>
        </w:rPr>
        <w:t>, בין היתר,</w:t>
      </w:r>
      <w:r>
        <w:rPr>
          <w:rtl/>
        </w:rPr>
        <w:t xml:space="preserve"> </w:t>
      </w:r>
      <w:r>
        <w:rPr>
          <w:rFonts w:hint="cs"/>
          <w:rtl/>
        </w:rPr>
        <w:t>סעדים בעניין משמורת הקטינה וקביעת זמני שהות עמו. לטענת המבקש</w:t>
      </w:r>
      <w:r w:rsidR="00DB145D">
        <w:rPr>
          <w:rFonts w:hint="cs"/>
          <w:rtl/>
        </w:rPr>
        <w:t xml:space="preserve">, הצדדים התגוררו ועבדו בעיר </w:t>
      </w:r>
      <w:r w:rsidR="00DB145D">
        <w:rPr>
          <w:rFonts w:hint="cs"/>
        </w:rPr>
        <w:t>X</w:t>
      </w:r>
      <w:r w:rsidR="00DB145D">
        <w:rPr>
          <w:rFonts w:hint="cs"/>
          <w:rtl/>
        </w:rPr>
        <w:t xml:space="preserve">, והמשיבה עברה עם הקטינה לעיר </w:t>
      </w:r>
      <w:r w:rsidR="00DB145D">
        <w:rPr>
          <w:rFonts w:hint="cs"/>
        </w:rPr>
        <w:t>Y</w:t>
      </w:r>
      <w:r>
        <w:rPr>
          <w:rFonts w:hint="cs"/>
          <w:rtl/>
        </w:rPr>
        <w:t xml:space="preserve">, ורשמה את הקטינה לגן שם. </w:t>
      </w:r>
      <w:r>
        <w:rPr>
          <w:rtl/>
        </w:rPr>
        <w:t xml:space="preserve"> </w:t>
      </w:r>
    </w:p>
    <w:p w:rsidR="00CB66DA" w:rsidRDefault="00CB66DA" w:rsidP="007C64B9">
      <w:pPr>
        <w:spacing w:after="120" w:line="360" w:lineRule="auto"/>
        <w:ind w:left="720" w:hanging="720"/>
        <w:jc w:val="both"/>
        <w:rPr>
          <w:rtl/>
        </w:rPr>
      </w:pPr>
      <w:r>
        <w:rPr>
          <w:rFonts w:hint="cs"/>
          <w:rtl/>
        </w:rPr>
        <w:t>4.</w:t>
      </w:r>
      <w:r>
        <w:rPr>
          <w:rFonts w:hint="cs"/>
          <w:rtl/>
        </w:rPr>
        <w:tab/>
        <w:t xml:space="preserve">מעיון בתיק קמא עולה, כי זמני השהות של המבקש עם הקטינה היו פעמיים בשבוע בשעות </w:t>
      </w:r>
      <w:r w:rsidR="007C64B9">
        <w:rPr>
          <w:rFonts w:hint="cs"/>
          <w:rtl/>
        </w:rPr>
        <w:t>16:00</w:t>
      </w:r>
      <w:r>
        <w:rPr>
          <w:rFonts w:hint="cs"/>
          <w:rtl/>
        </w:rPr>
        <w:t>-</w:t>
      </w:r>
      <w:r w:rsidR="007C64B9">
        <w:rPr>
          <w:rFonts w:hint="cs"/>
          <w:rtl/>
        </w:rPr>
        <w:t>19:00</w:t>
      </w:r>
      <w:r>
        <w:rPr>
          <w:rFonts w:hint="cs"/>
          <w:rtl/>
        </w:rPr>
        <w:t xml:space="preserve"> ובכל שבת שנייה, בשעות </w:t>
      </w:r>
      <w:r w:rsidR="007C64B9">
        <w:rPr>
          <w:rFonts w:hint="cs"/>
          <w:rtl/>
        </w:rPr>
        <w:t>10:00</w:t>
      </w:r>
      <w:r>
        <w:rPr>
          <w:rFonts w:hint="cs"/>
          <w:rtl/>
        </w:rPr>
        <w:t>-</w:t>
      </w:r>
      <w:r w:rsidR="007C64B9">
        <w:rPr>
          <w:rFonts w:hint="cs"/>
          <w:rtl/>
        </w:rPr>
        <w:t>17:00</w:t>
      </w:r>
      <w:r>
        <w:rPr>
          <w:rFonts w:hint="cs"/>
          <w:rtl/>
        </w:rPr>
        <w:t xml:space="preserve">. </w:t>
      </w:r>
    </w:p>
    <w:p w:rsidR="00CB66DA" w:rsidRDefault="00CB66DA" w:rsidP="007C64B9">
      <w:pPr>
        <w:spacing w:after="120" w:line="360" w:lineRule="auto"/>
        <w:ind w:left="720" w:hanging="720"/>
        <w:jc w:val="both"/>
        <w:rPr>
          <w:rtl/>
        </w:rPr>
      </w:pPr>
      <w:r>
        <w:rPr>
          <w:rtl/>
        </w:rPr>
        <w:tab/>
      </w:r>
      <w:r>
        <w:rPr>
          <w:rFonts w:hint="cs"/>
          <w:rtl/>
        </w:rPr>
        <w:t xml:space="preserve">בהחלטה מיום 21.7.24 הורחבו שעות השהות של הקטינה עם אביה, כך שאסף אותה ישירות מסיום המסגרת בשעה </w:t>
      </w:r>
      <w:r w:rsidR="007C64B9">
        <w:rPr>
          <w:rFonts w:hint="cs"/>
          <w:rtl/>
        </w:rPr>
        <w:t>13:00</w:t>
      </w:r>
      <w:r>
        <w:rPr>
          <w:rFonts w:hint="cs"/>
          <w:rtl/>
        </w:rPr>
        <w:t xml:space="preserve">, והשיבה לבית האם עד שעה </w:t>
      </w:r>
      <w:r w:rsidR="007C64B9">
        <w:rPr>
          <w:rFonts w:hint="cs"/>
          <w:rtl/>
        </w:rPr>
        <w:t>20:00</w:t>
      </w:r>
      <w:r>
        <w:rPr>
          <w:rFonts w:hint="cs"/>
          <w:rtl/>
        </w:rPr>
        <w:t xml:space="preserve"> (לאחר מקלחת וארוחת ערב).</w:t>
      </w:r>
    </w:p>
    <w:p w:rsidR="00CB66DA" w:rsidRDefault="00CB66DA" w:rsidP="00CB66DA">
      <w:pPr>
        <w:spacing w:after="120" w:line="360" w:lineRule="auto"/>
        <w:ind w:left="720" w:hanging="720"/>
        <w:jc w:val="both"/>
        <w:rPr>
          <w:rtl/>
        </w:rPr>
      </w:pPr>
      <w:r>
        <w:rPr>
          <w:rFonts w:hint="cs"/>
          <w:rtl/>
        </w:rPr>
        <w:lastRenderedPageBreak/>
        <w:t>5.</w:t>
      </w:r>
      <w:r>
        <w:rPr>
          <w:rFonts w:hint="cs"/>
          <w:rtl/>
        </w:rPr>
        <w:tab/>
        <w:t xml:space="preserve">ביום 6.6.2023, ניתן פסק דין בתיק קמא, לפיו נתונה הסמכות העניינית לדון בתביעת משמורת הקטינה, לבית הדין השרעי. </w:t>
      </w:r>
    </w:p>
    <w:p w:rsidR="00CB66DA" w:rsidRDefault="00CB66DA" w:rsidP="00CB66DA">
      <w:pPr>
        <w:spacing w:after="120" w:line="360" w:lineRule="auto"/>
        <w:ind w:left="720" w:hanging="720"/>
        <w:jc w:val="both"/>
        <w:rPr>
          <w:rtl/>
        </w:rPr>
      </w:pPr>
      <w:r>
        <w:rPr>
          <w:rtl/>
        </w:rPr>
        <w:tab/>
      </w:r>
      <w:r>
        <w:rPr>
          <w:rFonts w:hint="cs"/>
          <w:rtl/>
        </w:rPr>
        <w:t xml:space="preserve">המבקש ערער על פסק הדין קמא, וביום 5.2.2024, ניתן פסק דין בערעור (עמ"ש 41308-07-23), שקיבל את הערעור, והורה כי הסמכות העניינית לדון בתביעת המשמורת על הקטינה תהא בבית משפט לענייני משפחה. </w:t>
      </w:r>
    </w:p>
    <w:p w:rsidR="00CB66DA" w:rsidRDefault="00CB66DA" w:rsidP="00DB145D">
      <w:pPr>
        <w:spacing w:after="120" w:line="360" w:lineRule="auto"/>
        <w:ind w:left="720" w:hanging="720"/>
        <w:jc w:val="both"/>
        <w:rPr>
          <w:rFonts w:ascii="David" w:hAnsi="David"/>
          <w:rtl/>
        </w:rPr>
      </w:pPr>
      <w:r>
        <w:rPr>
          <w:rFonts w:hint="cs"/>
          <w:rtl/>
        </w:rPr>
        <w:t>6</w:t>
      </w:r>
      <w:r>
        <w:rPr>
          <w:rtl/>
        </w:rPr>
        <w:t>.</w:t>
      </w:r>
      <w:r>
        <w:rPr>
          <w:rtl/>
        </w:rPr>
        <w:tab/>
      </w:r>
      <w:r>
        <w:rPr>
          <w:rFonts w:ascii="David" w:hAnsi="David" w:hint="cs"/>
          <w:rtl/>
        </w:rPr>
        <w:t xml:space="preserve">ביום 20.2.2024 נקבע בהודעת מחלקת הרווחה, כי מחלקת הרווחה של העיר </w:t>
      </w:r>
      <w:r w:rsidR="00DB145D">
        <w:rPr>
          <w:rFonts w:ascii="David" w:hAnsi="David" w:hint="cs"/>
        </w:rPr>
        <w:t>Y</w:t>
      </w:r>
      <w:r>
        <w:rPr>
          <w:rFonts w:ascii="David" w:hAnsi="David" w:hint="cs"/>
          <w:rtl/>
        </w:rPr>
        <w:t xml:space="preserve"> תטפל בענייני סדרי הדין של הצדדים והקטינה. </w:t>
      </w:r>
    </w:p>
    <w:p w:rsidR="00CB66DA" w:rsidRDefault="00CB66DA" w:rsidP="00DB145D">
      <w:pPr>
        <w:spacing w:after="120" w:line="360" w:lineRule="auto"/>
        <w:ind w:left="720" w:hanging="720"/>
        <w:jc w:val="both"/>
        <w:rPr>
          <w:rFonts w:ascii="David" w:hAnsi="David"/>
          <w:rtl/>
        </w:rPr>
      </w:pPr>
      <w:r>
        <w:rPr>
          <w:rFonts w:ascii="David" w:hAnsi="David"/>
          <w:rtl/>
        </w:rPr>
        <w:tab/>
      </w:r>
      <w:r>
        <w:rPr>
          <w:rFonts w:ascii="David" w:hAnsi="David" w:hint="cs"/>
          <w:rtl/>
        </w:rPr>
        <w:t xml:space="preserve">בתסקיר שהוגש יום למחרת (21.2.2024) צוין כי בהתאם להחלטת בית הדין השרעי מיום 27.9.2023, הקטינה רשומה ולומדת בגן בעיר </w:t>
      </w:r>
      <w:r w:rsidR="00DB145D">
        <w:rPr>
          <w:rFonts w:ascii="David" w:hAnsi="David" w:hint="cs"/>
        </w:rPr>
        <w:t>Y</w:t>
      </w:r>
      <w:r>
        <w:rPr>
          <w:rFonts w:ascii="David" w:hAnsi="David" w:hint="cs"/>
          <w:rtl/>
        </w:rPr>
        <w:t xml:space="preserve">. </w:t>
      </w:r>
    </w:p>
    <w:p w:rsidR="00CB66DA" w:rsidRDefault="00CB66DA" w:rsidP="00CB66DA">
      <w:pPr>
        <w:spacing w:after="120" w:line="360" w:lineRule="auto"/>
        <w:ind w:left="720" w:hanging="720"/>
        <w:jc w:val="both"/>
        <w:rPr>
          <w:rFonts w:ascii="David" w:hAnsi="David"/>
          <w:rtl/>
        </w:rPr>
      </w:pPr>
      <w:r>
        <w:rPr>
          <w:rFonts w:ascii="David" w:hAnsi="David" w:hint="cs"/>
          <w:rtl/>
        </w:rPr>
        <w:t>7.</w:t>
      </w:r>
      <w:r>
        <w:rPr>
          <w:rFonts w:ascii="David" w:hAnsi="David" w:hint="cs"/>
          <w:rtl/>
        </w:rPr>
        <w:tab/>
      </w:r>
      <w:r w:rsidRPr="00CF20F1">
        <w:rPr>
          <w:rFonts w:ascii="David" w:hAnsi="David" w:hint="cs"/>
          <w:rtl/>
        </w:rPr>
        <w:t>ב</w:t>
      </w:r>
      <w:r>
        <w:rPr>
          <w:rFonts w:ascii="David" w:hAnsi="David" w:hint="cs"/>
          <w:rtl/>
        </w:rPr>
        <w:t>החלטה מ</w:t>
      </w:r>
      <w:r w:rsidRPr="00CF20F1">
        <w:rPr>
          <w:rFonts w:ascii="David" w:hAnsi="David" w:hint="cs"/>
          <w:rtl/>
        </w:rPr>
        <w:t xml:space="preserve">יום </w:t>
      </w:r>
      <w:r>
        <w:rPr>
          <w:rFonts w:ascii="David" w:hAnsi="David" w:hint="cs"/>
          <w:rtl/>
        </w:rPr>
        <w:t>7</w:t>
      </w:r>
      <w:r w:rsidRPr="00CF20F1">
        <w:rPr>
          <w:rFonts w:ascii="David" w:hAnsi="David" w:hint="cs"/>
          <w:rtl/>
        </w:rPr>
        <w:t>.4.</w:t>
      </w:r>
      <w:r>
        <w:rPr>
          <w:rFonts w:ascii="David" w:hAnsi="David" w:hint="cs"/>
          <w:rtl/>
        </w:rPr>
        <w:t>2024</w:t>
      </w:r>
      <w:r w:rsidRPr="00CF20F1">
        <w:rPr>
          <w:rFonts w:ascii="David" w:hAnsi="David" w:hint="cs"/>
          <w:rtl/>
        </w:rPr>
        <w:t xml:space="preserve"> מונה בהסכמה, מומחה מטעם בית המשפט, הפסיכולוג נימר סעיד (להלן: "</w:t>
      </w:r>
      <w:r w:rsidRPr="00CF20F1">
        <w:rPr>
          <w:rFonts w:ascii="David" w:hAnsi="David" w:hint="cs"/>
          <w:b/>
          <w:bCs/>
          <w:rtl/>
        </w:rPr>
        <w:t>המומחה</w:t>
      </w:r>
      <w:r>
        <w:rPr>
          <w:rFonts w:ascii="David" w:hAnsi="David" w:hint="cs"/>
          <w:rtl/>
        </w:rPr>
        <w:t>"). המומחה התבקש להגיש חוות דעתו בעניין מסוגלותם ההורית של הצדדים, וכן בחינת העתקת מקום מגורי הקטינה בראי טובתה.</w:t>
      </w:r>
    </w:p>
    <w:p w:rsidR="00CB66DA" w:rsidRDefault="00CB66DA" w:rsidP="00CB66DA">
      <w:pPr>
        <w:spacing w:after="120" w:line="360" w:lineRule="auto"/>
        <w:ind w:left="720" w:hanging="720"/>
        <w:jc w:val="both"/>
        <w:rPr>
          <w:rFonts w:ascii="David" w:hAnsi="David"/>
          <w:rtl/>
        </w:rPr>
      </w:pPr>
      <w:r>
        <w:rPr>
          <w:rFonts w:ascii="David" w:hAnsi="David" w:hint="cs"/>
          <w:rtl/>
        </w:rPr>
        <w:t>8.</w:t>
      </w:r>
      <w:r>
        <w:rPr>
          <w:rFonts w:ascii="David" w:hAnsi="David" w:hint="cs"/>
          <w:rtl/>
        </w:rPr>
        <w:tab/>
        <w:t xml:space="preserve">בהחלטה בתיק קמא מיום 14.6.24, נקבע במענה לבקשת המבקש, כי </w:t>
      </w:r>
      <w:r w:rsidRPr="009C221D">
        <w:rPr>
          <w:rFonts w:ascii="David" w:hAnsi="David"/>
          <w:rtl/>
        </w:rPr>
        <w:t>אין מקום להאציל למומחה</w:t>
      </w:r>
      <w:r>
        <w:rPr>
          <w:rFonts w:ascii="David" w:hAnsi="David" w:hint="cs"/>
          <w:rtl/>
        </w:rPr>
        <w:t xml:space="preserve"> </w:t>
      </w:r>
      <w:r w:rsidRPr="009C221D">
        <w:rPr>
          <w:rFonts w:ascii="David" w:hAnsi="David"/>
          <w:rtl/>
        </w:rPr>
        <w:t>סמכות</w:t>
      </w:r>
      <w:r>
        <w:rPr>
          <w:rFonts w:ascii="David" w:hAnsi="David" w:hint="cs"/>
          <w:rtl/>
        </w:rPr>
        <w:t xml:space="preserve"> להתייחס לזמני שהות המבקש עם הקטינה</w:t>
      </w:r>
      <w:r w:rsidRPr="009C221D">
        <w:rPr>
          <w:rFonts w:ascii="David" w:hAnsi="David"/>
          <w:rtl/>
        </w:rPr>
        <w:t xml:space="preserve">, ובכך לייתר את עבודת </w:t>
      </w:r>
      <w:r>
        <w:rPr>
          <w:rFonts w:ascii="David" w:hAnsi="David" w:hint="cs"/>
          <w:rtl/>
        </w:rPr>
        <w:t>ה</w:t>
      </w:r>
      <w:r w:rsidRPr="009C221D">
        <w:rPr>
          <w:rFonts w:ascii="David" w:hAnsi="David"/>
          <w:rtl/>
        </w:rPr>
        <w:t>עו"ס</w:t>
      </w:r>
      <w:r>
        <w:rPr>
          <w:rFonts w:ascii="David" w:hAnsi="David" w:hint="cs"/>
          <w:rtl/>
        </w:rPr>
        <w:t xml:space="preserve">. עוד נומק בהחלטה, כי </w:t>
      </w:r>
      <w:r w:rsidRPr="009C221D">
        <w:rPr>
          <w:rFonts w:ascii="David" w:hAnsi="David"/>
          <w:rtl/>
        </w:rPr>
        <w:t>מינוי</w:t>
      </w:r>
      <w:r>
        <w:rPr>
          <w:rFonts w:ascii="David" w:hAnsi="David" w:hint="cs"/>
          <w:rtl/>
        </w:rPr>
        <w:t xml:space="preserve"> </w:t>
      </w:r>
      <w:r w:rsidRPr="009C221D">
        <w:rPr>
          <w:rFonts w:ascii="David" w:hAnsi="David"/>
          <w:rtl/>
        </w:rPr>
        <w:t>המומחה והמלצותיו אינן יכולות להוות תחליף למינוי עו"ס</w:t>
      </w:r>
      <w:r>
        <w:rPr>
          <w:rFonts w:ascii="David" w:hAnsi="David" w:hint="cs"/>
          <w:rtl/>
        </w:rPr>
        <w:t xml:space="preserve"> </w:t>
      </w:r>
      <w:r w:rsidRPr="009C221D">
        <w:rPr>
          <w:rFonts w:ascii="David" w:hAnsi="David"/>
          <w:rtl/>
        </w:rPr>
        <w:t>והגשת תסקירים מט</w:t>
      </w:r>
      <w:r>
        <w:rPr>
          <w:rFonts w:ascii="David" w:hAnsi="David"/>
          <w:rtl/>
        </w:rPr>
        <w:t xml:space="preserve">עמה. </w:t>
      </w:r>
      <w:r w:rsidRPr="009C221D">
        <w:rPr>
          <w:rFonts w:ascii="David" w:hAnsi="David"/>
          <w:rtl/>
        </w:rPr>
        <w:t>במקרה דנן,</w:t>
      </w:r>
      <w:r>
        <w:rPr>
          <w:rFonts w:ascii="David" w:hAnsi="David" w:hint="cs"/>
          <w:rtl/>
        </w:rPr>
        <w:t xml:space="preserve"> כך נקבע, </w:t>
      </w:r>
      <w:r w:rsidRPr="009C221D">
        <w:rPr>
          <w:rFonts w:ascii="David" w:hAnsi="David"/>
          <w:rtl/>
        </w:rPr>
        <w:t>עבודת עו"ס תיעשה בשילוב עם המומחה והמלצותיו,</w:t>
      </w:r>
      <w:r>
        <w:rPr>
          <w:rFonts w:ascii="David" w:hAnsi="David" w:hint="cs"/>
          <w:rtl/>
        </w:rPr>
        <w:t xml:space="preserve"> </w:t>
      </w:r>
      <w:r w:rsidRPr="009C221D">
        <w:rPr>
          <w:rFonts w:ascii="David" w:hAnsi="David"/>
          <w:rtl/>
        </w:rPr>
        <w:t>כאשר, בין היתר, עו"ס תעדכן את בית המשפט אודות יישום</w:t>
      </w:r>
      <w:r>
        <w:rPr>
          <w:rFonts w:ascii="David" w:hAnsi="David" w:hint="cs"/>
          <w:rtl/>
        </w:rPr>
        <w:t xml:space="preserve"> </w:t>
      </w:r>
      <w:r w:rsidRPr="009C221D">
        <w:rPr>
          <w:rFonts w:ascii="David" w:hAnsi="David"/>
          <w:rtl/>
        </w:rPr>
        <w:t>המלצות המומחה בפועל, בעוד המומחה יסיים את תפקידו</w:t>
      </w:r>
      <w:r>
        <w:rPr>
          <w:rFonts w:ascii="David" w:hAnsi="David" w:hint="cs"/>
          <w:rtl/>
        </w:rPr>
        <w:t xml:space="preserve"> </w:t>
      </w:r>
      <w:r w:rsidRPr="009C221D">
        <w:rPr>
          <w:rFonts w:ascii="David" w:hAnsi="David"/>
          <w:rtl/>
        </w:rPr>
        <w:t>עם הגשת חוות דעתו והמלצותיו לבית המשפט.</w:t>
      </w:r>
    </w:p>
    <w:p w:rsidR="00CB66DA" w:rsidRDefault="00CB66DA" w:rsidP="00CB66DA">
      <w:pPr>
        <w:spacing w:after="120" w:line="360" w:lineRule="auto"/>
        <w:ind w:left="720" w:hanging="720"/>
        <w:jc w:val="both"/>
        <w:rPr>
          <w:rFonts w:ascii="David" w:hAnsi="David"/>
          <w:rtl/>
        </w:rPr>
      </w:pPr>
      <w:r>
        <w:rPr>
          <w:rFonts w:ascii="David" w:hAnsi="David"/>
          <w:rtl/>
        </w:rPr>
        <w:tab/>
      </w:r>
      <w:r>
        <w:rPr>
          <w:rFonts w:ascii="David" w:hAnsi="David" w:hint="cs"/>
          <w:rtl/>
        </w:rPr>
        <w:t>יצויין כי בית משפט קמא חזר על האמור לעיל אף בהחלטתו מיום 21.7.2024.</w:t>
      </w:r>
    </w:p>
    <w:p w:rsidR="00CB66DA" w:rsidRDefault="00CB66DA" w:rsidP="00CB66DA">
      <w:pPr>
        <w:spacing w:after="120" w:line="360" w:lineRule="auto"/>
        <w:ind w:left="720" w:hanging="720"/>
        <w:jc w:val="both"/>
        <w:rPr>
          <w:rFonts w:ascii="David" w:hAnsi="David"/>
          <w:rtl/>
        </w:rPr>
      </w:pPr>
      <w:r>
        <w:rPr>
          <w:rFonts w:ascii="David" w:hAnsi="David" w:hint="cs"/>
          <w:rtl/>
        </w:rPr>
        <w:t>9.</w:t>
      </w:r>
      <w:r>
        <w:rPr>
          <w:rFonts w:ascii="David" w:hAnsi="David" w:hint="cs"/>
          <w:rtl/>
        </w:rPr>
        <w:tab/>
        <w:t>בהחלטה מיום 14.8.2024, חודדו הנחיות בית משפט קמא למומחה, והתווספו שאלות ותחומים נוספים שעל המומחה לכלול בחוות דעתו, כגון מקום לימודי הקטינה, שאלת ניכור הורי (כלפי האב) ומשמורת הקטינה.</w:t>
      </w:r>
    </w:p>
    <w:p w:rsidR="00CB66DA" w:rsidRDefault="00CB66DA" w:rsidP="00CB66DA">
      <w:pPr>
        <w:spacing w:after="120" w:line="360" w:lineRule="auto"/>
        <w:ind w:left="720" w:hanging="720"/>
        <w:jc w:val="both"/>
        <w:rPr>
          <w:rFonts w:ascii="David" w:hAnsi="David"/>
          <w:rtl/>
        </w:rPr>
      </w:pPr>
      <w:r>
        <w:rPr>
          <w:rFonts w:ascii="David" w:hAnsi="David" w:hint="cs"/>
          <w:rtl/>
        </w:rPr>
        <w:t>10.</w:t>
      </w:r>
      <w:r>
        <w:rPr>
          <w:rFonts w:ascii="David" w:hAnsi="David" w:hint="cs"/>
          <w:rtl/>
        </w:rPr>
        <w:tab/>
      </w:r>
      <w:r w:rsidRPr="007D4CEC">
        <w:rPr>
          <w:rFonts w:ascii="David" w:hAnsi="David" w:hint="cs"/>
          <w:u w:val="single"/>
          <w:rtl/>
        </w:rPr>
        <w:t>ביום 28.8.2024 הוגשה חוות דעת המומחה לתיק קמא. במסגרת המלצותיו, נכתב בין היתר</w:t>
      </w:r>
      <w:r>
        <w:rPr>
          <w:rFonts w:ascii="David" w:hAnsi="David" w:hint="cs"/>
          <w:rtl/>
        </w:rPr>
        <w:t>:</w:t>
      </w:r>
    </w:p>
    <w:p w:rsidR="00CB66DA" w:rsidRDefault="00CB66DA" w:rsidP="00CB66DA">
      <w:pPr>
        <w:spacing w:after="120" w:line="360" w:lineRule="auto"/>
        <w:ind w:left="1276" w:hanging="567"/>
        <w:jc w:val="both"/>
        <w:rPr>
          <w:rFonts w:ascii="David" w:hAnsi="David"/>
          <w:rtl/>
        </w:rPr>
      </w:pPr>
      <w:r>
        <w:rPr>
          <w:rFonts w:ascii="David" w:hAnsi="David" w:hint="cs"/>
          <w:rtl/>
        </w:rPr>
        <w:t>א.</w:t>
      </w:r>
      <w:r>
        <w:rPr>
          <w:rFonts w:ascii="David" w:hAnsi="David"/>
          <w:rtl/>
        </w:rPr>
        <w:tab/>
      </w:r>
      <w:r>
        <w:rPr>
          <w:rFonts w:ascii="David" w:hAnsi="David" w:hint="cs"/>
          <w:rtl/>
        </w:rPr>
        <w:t>אין כל בעייתיות במסוגלות ההורית של מי מהצדדים. כן נשללה כל אפשרות לניכור הורי מצד כל הורה כלפי מקבילו.</w:t>
      </w:r>
    </w:p>
    <w:p w:rsidR="00CB66DA" w:rsidRDefault="00CB66DA" w:rsidP="00CB66DA">
      <w:pPr>
        <w:spacing w:after="120" w:line="360" w:lineRule="auto"/>
        <w:ind w:left="1276" w:hanging="567"/>
        <w:jc w:val="both"/>
        <w:rPr>
          <w:rFonts w:ascii="David" w:hAnsi="David"/>
          <w:rtl/>
        </w:rPr>
      </w:pPr>
      <w:r>
        <w:rPr>
          <w:rFonts w:ascii="David" w:hAnsi="David" w:hint="cs"/>
          <w:rtl/>
        </w:rPr>
        <w:t>ב.</w:t>
      </w:r>
      <w:r>
        <w:rPr>
          <w:rFonts w:ascii="David" w:hAnsi="David" w:hint="cs"/>
          <w:rtl/>
        </w:rPr>
        <w:tab/>
        <w:t>יש לקיים זמני שהות שווים של הקטינה עם כל אחד מהוריה, לרבות לינה.</w:t>
      </w:r>
    </w:p>
    <w:p w:rsidR="00CB66DA" w:rsidRDefault="00CB66DA" w:rsidP="00DB145D">
      <w:pPr>
        <w:spacing w:after="120" w:line="360" w:lineRule="auto"/>
        <w:ind w:left="1276" w:hanging="567"/>
        <w:jc w:val="both"/>
        <w:rPr>
          <w:rFonts w:ascii="David" w:hAnsi="David"/>
          <w:rtl/>
        </w:rPr>
      </w:pPr>
      <w:r>
        <w:rPr>
          <w:rFonts w:ascii="David" w:hAnsi="David" w:hint="cs"/>
          <w:rtl/>
        </w:rPr>
        <w:t>ג.</w:t>
      </w:r>
      <w:r>
        <w:rPr>
          <w:rFonts w:ascii="David" w:hAnsi="David" w:hint="cs"/>
          <w:rtl/>
        </w:rPr>
        <w:tab/>
      </w:r>
      <w:r w:rsidR="00DB145D">
        <w:rPr>
          <w:rFonts w:ascii="David" w:hAnsi="David" w:hint="cs"/>
          <w:rtl/>
        </w:rPr>
        <w:t>אין מניעה כי הקטינה תתגורר ב-</w:t>
      </w:r>
      <w:r w:rsidR="00DB145D">
        <w:rPr>
          <w:rFonts w:ascii="David" w:hAnsi="David" w:hint="cs"/>
        </w:rPr>
        <w:t>X</w:t>
      </w:r>
      <w:r>
        <w:rPr>
          <w:rFonts w:ascii="David" w:hAnsi="David" w:hint="cs"/>
          <w:rtl/>
        </w:rPr>
        <w:t xml:space="preserve">, </w:t>
      </w:r>
      <w:r w:rsidR="007C64B9">
        <w:rPr>
          <w:rFonts w:ascii="David" w:hAnsi="David" w:hint="cs"/>
          <w:rtl/>
        </w:rPr>
        <w:t>על מנת להבטיח את מסלול המעבר בין</w:t>
      </w:r>
      <w:r>
        <w:rPr>
          <w:rFonts w:ascii="David" w:hAnsi="David" w:hint="cs"/>
          <w:rtl/>
        </w:rPr>
        <w:t xml:space="preserve"> האב לאם, ובפרט שמסגרת החינוך תתקיים בעיר </w:t>
      </w:r>
      <w:r w:rsidR="00DB145D">
        <w:rPr>
          <w:rFonts w:ascii="David" w:hAnsi="David" w:hint="cs"/>
        </w:rPr>
        <w:t>X</w:t>
      </w:r>
      <w:r>
        <w:rPr>
          <w:rFonts w:ascii="David" w:hAnsi="David" w:hint="cs"/>
          <w:rtl/>
        </w:rPr>
        <w:t xml:space="preserve"> גם כן. על הקטינה להתחנך במסגרת ששני הוריה מסכימים לה. הקטי</w:t>
      </w:r>
      <w:r w:rsidR="00DB145D">
        <w:rPr>
          <w:rFonts w:ascii="David" w:hAnsi="David" w:hint="cs"/>
          <w:rtl/>
        </w:rPr>
        <w:t>נה תוכל להסתגל למסגרת חדשה ב-</w:t>
      </w:r>
      <w:r w:rsidR="00DB145D">
        <w:rPr>
          <w:rFonts w:ascii="David" w:hAnsi="David" w:hint="cs"/>
        </w:rPr>
        <w:t>X</w:t>
      </w:r>
      <w:r w:rsidR="00DB145D">
        <w:rPr>
          <w:rFonts w:ascii="David" w:hAnsi="David" w:hint="cs"/>
          <w:rtl/>
        </w:rPr>
        <w:t>. מאחר שהאם עובדת ב-</w:t>
      </w:r>
      <w:r w:rsidR="00DB145D">
        <w:rPr>
          <w:rFonts w:ascii="David" w:hAnsi="David" w:hint="cs"/>
        </w:rPr>
        <w:t>X</w:t>
      </w:r>
      <w:r>
        <w:rPr>
          <w:rFonts w:ascii="David" w:hAnsi="David" w:hint="cs"/>
          <w:rtl/>
        </w:rPr>
        <w:t>, תוכל להסיע את הקטינה למסגרת בימי השהות איתה.</w:t>
      </w:r>
    </w:p>
    <w:p w:rsidR="00CB66DA" w:rsidRDefault="00CB66DA" w:rsidP="00CB66DA">
      <w:pPr>
        <w:spacing w:after="120" w:line="360" w:lineRule="auto"/>
        <w:ind w:left="1276" w:hanging="567"/>
        <w:jc w:val="both"/>
        <w:rPr>
          <w:rFonts w:ascii="David" w:hAnsi="David"/>
          <w:rtl/>
        </w:rPr>
      </w:pPr>
      <w:r>
        <w:rPr>
          <w:rFonts w:ascii="David" w:hAnsi="David" w:hint="cs"/>
          <w:rtl/>
        </w:rPr>
        <w:lastRenderedPageBreak/>
        <w:t>ד.</w:t>
      </w:r>
      <w:r>
        <w:rPr>
          <w:rFonts w:ascii="David" w:hAnsi="David" w:hint="cs"/>
          <w:rtl/>
        </w:rPr>
        <w:tab/>
        <w:t>יש להקפיד על הרחקת הקטינה מכל עניין או תוכן הנוגע לסכסוך בין הוריה. ככל שהתקשורת בין ההורים לא תשתפר, יש להפנות את הקטינה לטיפול רגשי או פסיכולוגי.</w:t>
      </w:r>
    </w:p>
    <w:p w:rsidR="00CB66DA" w:rsidRDefault="00CB66DA" w:rsidP="00CB66DA">
      <w:pPr>
        <w:spacing w:after="120" w:line="360" w:lineRule="auto"/>
        <w:ind w:left="709" w:hanging="709"/>
        <w:jc w:val="both"/>
        <w:rPr>
          <w:rFonts w:ascii="David" w:hAnsi="David"/>
          <w:rtl/>
        </w:rPr>
      </w:pPr>
      <w:r>
        <w:rPr>
          <w:rFonts w:ascii="David" w:hAnsi="David" w:hint="cs"/>
          <w:rtl/>
        </w:rPr>
        <w:t>11.</w:t>
      </w:r>
      <w:r>
        <w:rPr>
          <w:rFonts w:ascii="David" w:hAnsi="David" w:hint="cs"/>
          <w:rtl/>
        </w:rPr>
        <w:tab/>
        <w:t>שני הצדדים, המבקש והמשיבה, וכן האפוט' לדין של הקטינה, שלחו למומחה שאלות הבהרה בקשר לחוות דעתו; המומחה השיב לכל שאלות ההבהרה שנשלחו אליו.</w:t>
      </w:r>
    </w:p>
    <w:p w:rsidR="00CB66DA" w:rsidRDefault="00CB66DA" w:rsidP="00CB66DA">
      <w:pPr>
        <w:spacing w:after="120" w:line="360" w:lineRule="auto"/>
        <w:ind w:left="709" w:hanging="709"/>
        <w:jc w:val="both"/>
        <w:rPr>
          <w:rFonts w:ascii="David" w:hAnsi="David"/>
          <w:rtl/>
        </w:rPr>
      </w:pPr>
      <w:r>
        <w:rPr>
          <w:rFonts w:ascii="David" w:hAnsi="David" w:hint="cs"/>
          <w:rtl/>
        </w:rPr>
        <w:t>12.</w:t>
      </w:r>
      <w:r>
        <w:rPr>
          <w:rFonts w:ascii="David" w:hAnsi="David" w:hint="cs"/>
          <w:rtl/>
        </w:rPr>
        <w:tab/>
        <w:t xml:space="preserve">כאמור לעיל, במסגרת בקשת הרשות דנן, ביקש המבקש לערער על </w:t>
      </w:r>
      <w:r w:rsidRPr="008C006E">
        <w:rPr>
          <w:rFonts w:ascii="David" w:hAnsi="David" w:hint="cs"/>
          <w:u w:val="single"/>
          <w:rtl/>
        </w:rPr>
        <w:t>שבע</w:t>
      </w:r>
      <w:r>
        <w:rPr>
          <w:rFonts w:ascii="David" w:hAnsi="David" w:hint="cs"/>
          <w:rtl/>
        </w:rPr>
        <w:t xml:space="preserve"> החלטות שונות שניתנו בתיק קמא לאורך חודש נובמבר 2024. למען הפשטות והבהירות, נתאר להלן כל אחת מההחלטות והרקע המסוים להן, בנפרד.</w:t>
      </w:r>
    </w:p>
    <w:p w:rsidR="00052FBA" w:rsidRDefault="00052FBA" w:rsidP="00CB66DA">
      <w:pPr>
        <w:spacing w:after="120" w:line="360" w:lineRule="auto"/>
        <w:ind w:left="709" w:hanging="709"/>
        <w:jc w:val="both"/>
        <w:rPr>
          <w:rFonts w:ascii="David" w:hAnsi="David"/>
          <w:rtl/>
        </w:rPr>
      </w:pPr>
    </w:p>
    <w:p w:rsidR="00CB66DA" w:rsidRPr="00184010" w:rsidRDefault="00CB66DA" w:rsidP="00CB66DA">
      <w:pPr>
        <w:spacing w:after="120" w:line="360" w:lineRule="auto"/>
        <w:ind w:left="709" w:hanging="709"/>
        <w:jc w:val="both"/>
        <w:rPr>
          <w:rFonts w:ascii="David" w:hAnsi="David"/>
          <w:b/>
          <w:bCs/>
          <w:u w:val="single"/>
          <w:rtl/>
        </w:rPr>
      </w:pPr>
      <w:r w:rsidRPr="00184010">
        <w:rPr>
          <w:rFonts w:ascii="David" w:hAnsi="David" w:hint="cs"/>
          <w:b/>
          <w:bCs/>
          <w:u w:val="single"/>
          <w:rtl/>
        </w:rPr>
        <w:t>החלטה מיום 3.11.2024</w:t>
      </w:r>
    </w:p>
    <w:p w:rsidR="00CB66DA" w:rsidRDefault="00CB66DA" w:rsidP="00CB66DA">
      <w:pPr>
        <w:spacing w:after="120" w:line="360" w:lineRule="auto"/>
        <w:ind w:left="709" w:hanging="709"/>
        <w:jc w:val="both"/>
        <w:rPr>
          <w:rFonts w:ascii="David" w:hAnsi="David"/>
          <w:rtl/>
        </w:rPr>
      </w:pPr>
      <w:r>
        <w:rPr>
          <w:rFonts w:ascii="David" w:hAnsi="David" w:hint="cs"/>
          <w:rtl/>
        </w:rPr>
        <w:t>13.</w:t>
      </w:r>
      <w:r>
        <w:rPr>
          <w:rFonts w:ascii="David" w:hAnsi="David" w:hint="cs"/>
          <w:rtl/>
        </w:rPr>
        <w:tab/>
        <w:t>ביום 11.8.2024, הגיש המבקש בקשה בתיק קמא, במסגרתה עתר להתיר לו להקליט את מפגשיו עם העו"ס. העו"ס ציינה בתגובתה כי צר לה שהאב מביע חוסר אמון בעבודתה, וכי אין מקום להקלטות העו"ס במסגרת הליך טיפולי. בתגובתה, אף המשיבה התנגדה להקלטה.</w:t>
      </w:r>
    </w:p>
    <w:p w:rsidR="00CB66DA" w:rsidRDefault="00CB66DA" w:rsidP="00CB66DA">
      <w:pPr>
        <w:spacing w:after="120" w:line="360" w:lineRule="auto"/>
        <w:ind w:left="709" w:hanging="709"/>
        <w:jc w:val="both"/>
        <w:rPr>
          <w:rFonts w:ascii="David" w:hAnsi="David"/>
          <w:rtl/>
        </w:rPr>
      </w:pPr>
      <w:r>
        <w:rPr>
          <w:rFonts w:ascii="David" w:hAnsi="David" w:hint="cs"/>
          <w:rtl/>
        </w:rPr>
        <w:t>14.</w:t>
      </w:r>
      <w:r>
        <w:rPr>
          <w:rFonts w:ascii="David" w:hAnsi="David" w:hint="cs"/>
          <w:rtl/>
        </w:rPr>
        <w:tab/>
        <w:t>ביום 25.9.2024, הגיש המבקש כאן, בקשה בתיק קמא, להורות על פסילת או ביטול מינויה של האפוט' לדין של הקטינה, בטענה כי מתנהלת באופן שלא לטובת הקטינה, מעלימה עובדות חיוניות מבית משפט קמא ונוקטת עמדה לטובת המשיבה בהליך קמא.</w:t>
      </w:r>
    </w:p>
    <w:p w:rsidR="00CB66DA" w:rsidRDefault="00CB66DA" w:rsidP="00CB66DA">
      <w:pPr>
        <w:spacing w:after="120" w:line="360" w:lineRule="auto"/>
        <w:ind w:left="709" w:hanging="709"/>
        <w:jc w:val="both"/>
        <w:rPr>
          <w:rFonts w:ascii="David" w:hAnsi="David"/>
          <w:rtl/>
        </w:rPr>
      </w:pPr>
      <w:r>
        <w:rPr>
          <w:rFonts w:ascii="David" w:hAnsi="David" w:hint="cs"/>
          <w:rtl/>
        </w:rPr>
        <w:t>15.</w:t>
      </w:r>
      <w:r>
        <w:rPr>
          <w:rFonts w:ascii="David" w:hAnsi="David" w:hint="cs"/>
          <w:rtl/>
        </w:rPr>
        <w:tab/>
        <w:t>המשיבה התנגדה לבקשת המבקש ועתרה להורות על דחייתה; האפוט' לדין אף היא התנגדה למבוקש, וטענה בתגובתה כי עמדתה השל</w:t>
      </w:r>
      <w:r w:rsidR="00DB145D">
        <w:rPr>
          <w:rFonts w:ascii="David" w:hAnsi="David" w:hint="cs"/>
          <w:rtl/>
        </w:rPr>
        <w:t>ילית ביחס למעבר הקטינה לגן ב-</w:t>
      </w:r>
      <w:r w:rsidR="00DB145D">
        <w:rPr>
          <w:rFonts w:ascii="David" w:hAnsi="David" w:hint="cs"/>
        </w:rPr>
        <w:t>X</w:t>
      </w:r>
      <w:r>
        <w:rPr>
          <w:rFonts w:ascii="David" w:hAnsi="David" w:hint="cs"/>
          <w:rtl/>
        </w:rPr>
        <w:t xml:space="preserve"> היתה עקבית. אין באפשרותה להמליץ על שינוי המצב הקיים טרם הגשת תסקיר או המלצות המומחה. </w:t>
      </w:r>
    </w:p>
    <w:p w:rsidR="00CB66DA" w:rsidRDefault="00CB66DA" w:rsidP="00CB66DA">
      <w:pPr>
        <w:spacing w:after="120" w:line="360" w:lineRule="auto"/>
        <w:ind w:left="709" w:hanging="709"/>
        <w:jc w:val="both"/>
        <w:rPr>
          <w:rFonts w:ascii="David" w:hAnsi="David"/>
          <w:rtl/>
        </w:rPr>
      </w:pPr>
      <w:r>
        <w:rPr>
          <w:rFonts w:ascii="David" w:hAnsi="David" w:hint="cs"/>
          <w:rtl/>
        </w:rPr>
        <w:t>16.</w:t>
      </w:r>
      <w:r>
        <w:rPr>
          <w:rFonts w:ascii="David" w:hAnsi="David" w:hint="cs"/>
          <w:rtl/>
        </w:rPr>
        <w:tab/>
      </w:r>
      <w:r w:rsidRPr="00425090">
        <w:rPr>
          <w:rFonts w:ascii="David" w:hAnsi="David" w:hint="cs"/>
          <w:b/>
          <w:bCs/>
          <w:rtl/>
        </w:rPr>
        <w:t>בקש</w:t>
      </w:r>
      <w:r>
        <w:rPr>
          <w:rFonts w:ascii="David" w:hAnsi="David" w:hint="cs"/>
          <w:b/>
          <w:bCs/>
          <w:rtl/>
        </w:rPr>
        <w:t>ות המבקש הנ"ל נדחו</w:t>
      </w:r>
      <w:r w:rsidRPr="00425090">
        <w:rPr>
          <w:rFonts w:ascii="David" w:hAnsi="David" w:hint="cs"/>
          <w:b/>
          <w:bCs/>
          <w:rtl/>
        </w:rPr>
        <w:t xml:space="preserve"> בהחלטה קמא מיום 3.11.2024</w:t>
      </w:r>
      <w:r>
        <w:rPr>
          <w:rFonts w:ascii="David" w:hAnsi="David" w:hint="cs"/>
          <w:rtl/>
        </w:rPr>
        <w:t xml:space="preserve"> (יצוין כי החלטה זו עסקה במספר בקשות של המבקש, אולם להלן יובאו רק החלקים עליהם מבקש המבקש לערער); </w:t>
      </w:r>
    </w:p>
    <w:p w:rsidR="00CB66DA" w:rsidRDefault="00CB66DA" w:rsidP="00CB66DA">
      <w:pPr>
        <w:spacing w:after="120" w:line="360" w:lineRule="auto"/>
        <w:ind w:left="709" w:hanging="709"/>
        <w:jc w:val="both"/>
        <w:rPr>
          <w:rFonts w:ascii="David" w:hAnsi="David"/>
          <w:rtl/>
        </w:rPr>
      </w:pPr>
      <w:r>
        <w:rPr>
          <w:rFonts w:ascii="David" w:hAnsi="David"/>
          <w:rtl/>
        </w:rPr>
        <w:tab/>
      </w:r>
      <w:r w:rsidRPr="00283DC1">
        <w:rPr>
          <w:rFonts w:ascii="David" w:hAnsi="David" w:hint="cs"/>
          <w:u w:val="single"/>
          <w:rtl/>
        </w:rPr>
        <w:t>בכל הקשור לבקשה להקליט את מפגשי המבקש עם העו"ס</w:t>
      </w:r>
      <w:r>
        <w:rPr>
          <w:rFonts w:ascii="David" w:hAnsi="David" w:hint="cs"/>
          <w:rtl/>
        </w:rPr>
        <w:t xml:space="preserve">, צוין הכלל שבפסיקה לאמור, כי הגם שתסקיר אינו בגדר חוות דעת מומחה, יש לו מעמד שווה ערך לחוות דעת מומחה. כן צוין כי בהתאם לכללים שהתווה בית המשפט העליון בעניין גליצנשטיין [רע"א 2948/10 </w:t>
      </w:r>
      <w:r w:rsidRPr="00425090">
        <w:rPr>
          <w:rFonts w:ascii="David" w:hAnsi="David" w:hint="cs"/>
          <w:b/>
          <w:bCs/>
          <w:rtl/>
        </w:rPr>
        <w:t>יואב גליצנשטיין נ' מדינת ישראל</w:t>
      </w:r>
      <w:r>
        <w:rPr>
          <w:rFonts w:ascii="David" w:hAnsi="David" w:hint="cs"/>
          <w:rtl/>
        </w:rPr>
        <w:t xml:space="preserve"> (1.2.2012)], אין לאפשר הקלטה של בדיקת מומחה הנתבע בתביעות לפי פק' הנזיקין, ככל שהמומחה או הנתבע מתנגדים לכך, למעט במקרים קיצוניים; נקבע כי במקרה דנן אין מדובר במקרה קיצוני, ויש לפעול בהתאם לכללי עניין גליצנשטיין. הן המשיבה והן העו"ס התנגדו להקלטה, לכן נקבע כי אין הצדקה להיעתר לבקשת המבקש להקליט את מפגשיו עם העו"ס.</w:t>
      </w:r>
    </w:p>
    <w:p w:rsidR="00CB66DA" w:rsidRDefault="00CB66DA" w:rsidP="00CB66DA">
      <w:pPr>
        <w:spacing w:after="120" w:line="360" w:lineRule="auto"/>
        <w:ind w:left="709" w:hanging="709"/>
        <w:jc w:val="both"/>
        <w:rPr>
          <w:rFonts w:ascii="David" w:hAnsi="David"/>
          <w:rtl/>
        </w:rPr>
      </w:pPr>
      <w:r>
        <w:rPr>
          <w:rFonts w:ascii="David" w:hAnsi="David"/>
          <w:rtl/>
        </w:rPr>
        <w:tab/>
      </w:r>
      <w:r w:rsidRPr="00283DC1">
        <w:rPr>
          <w:rFonts w:ascii="David" w:hAnsi="David" w:hint="cs"/>
          <w:u w:val="single"/>
          <w:rtl/>
        </w:rPr>
        <w:t>אף בקשת המבקש לפסול את מינוי האפוט' לדין נדחתה</w:t>
      </w:r>
      <w:r>
        <w:rPr>
          <w:rFonts w:ascii="David" w:hAnsi="David" w:hint="cs"/>
          <w:rtl/>
        </w:rPr>
        <w:t xml:space="preserve">; בין נימוקי הדחייה, פירט בית משפט קמא כי לא מצא בנימוקי הבקשה כל נימוק ענייני שיש בו הצדקה להורות על פסילת האפוט' לדין או ביטול מינויה. בית משפט קמא התרשם כי האפוט' לדין גילתה מחויבות ומסירות לעניין הקטינה; האפוט' לדין מייצגת את הקטינה על הצד הטוב ביותר ותרומתה להליך רבה, בשמירת זכויות הקטינה. </w:t>
      </w:r>
    </w:p>
    <w:p w:rsidR="00CB66DA" w:rsidRDefault="00CB66DA" w:rsidP="00CB66DA">
      <w:pPr>
        <w:spacing w:after="120" w:line="360" w:lineRule="auto"/>
        <w:ind w:left="709" w:hanging="709"/>
        <w:jc w:val="both"/>
        <w:rPr>
          <w:rFonts w:ascii="David" w:hAnsi="David"/>
          <w:rtl/>
        </w:rPr>
      </w:pPr>
      <w:r>
        <w:rPr>
          <w:rFonts w:ascii="David" w:hAnsi="David"/>
          <w:rtl/>
        </w:rPr>
        <w:lastRenderedPageBreak/>
        <w:tab/>
      </w:r>
      <w:r>
        <w:rPr>
          <w:rFonts w:ascii="David" w:hAnsi="David" w:hint="cs"/>
          <w:rtl/>
        </w:rPr>
        <w:t>עוד פורט בהחלטה קמא, כי אין ממש בטענת המבקש, לפיהן יש בהתנהלות האפוט' לדין הפרה של חובותיה כלפי הקטינה, או מעילה באמון בעניין ייצוג הקטינה, אלא ההיפך הוא הנכון.</w:t>
      </w:r>
    </w:p>
    <w:p w:rsidR="00CB66DA" w:rsidRDefault="00CB66DA" w:rsidP="00052FBA">
      <w:pPr>
        <w:spacing w:after="120" w:line="360" w:lineRule="auto"/>
        <w:ind w:left="720" w:hanging="720"/>
        <w:jc w:val="both"/>
        <w:rPr>
          <w:rtl/>
        </w:rPr>
      </w:pPr>
      <w:r w:rsidRPr="00CF20F1">
        <w:rPr>
          <w:rtl/>
        </w:rPr>
        <w:tab/>
        <w:t>בקשת רשות הערעור דנן הוגשה בגין החלטה זו</w:t>
      </w:r>
      <w:r>
        <w:rPr>
          <w:rFonts w:hint="cs"/>
          <w:rtl/>
        </w:rPr>
        <w:t>, על שני רכיביה</w:t>
      </w:r>
      <w:r w:rsidRPr="00CF20F1">
        <w:rPr>
          <w:rtl/>
        </w:rPr>
        <w:t>.</w:t>
      </w:r>
    </w:p>
    <w:p w:rsidR="00CB66DA" w:rsidRDefault="00CB66DA" w:rsidP="00CB66DA">
      <w:pPr>
        <w:spacing w:after="120" w:line="360" w:lineRule="auto"/>
        <w:ind w:left="720" w:hanging="720"/>
        <w:jc w:val="both"/>
        <w:rPr>
          <w:rtl/>
        </w:rPr>
      </w:pPr>
      <w:r w:rsidRPr="00CF20F1">
        <w:rPr>
          <w:rtl/>
        </w:rPr>
        <w:tab/>
      </w:r>
    </w:p>
    <w:p w:rsidR="00CB66DA" w:rsidRPr="00C24FCA" w:rsidRDefault="00CB66DA" w:rsidP="00CB66DA">
      <w:pPr>
        <w:spacing w:after="120" w:line="360" w:lineRule="auto"/>
        <w:ind w:left="720" w:hanging="720"/>
        <w:jc w:val="both"/>
        <w:rPr>
          <w:b/>
          <w:bCs/>
          <w:u w:val="single"/>
          <w:rtl/>
        </w:rPr>
      </w:pPr>
      <w:r w:rsidRPr="00C24FCA">
        <w:rPr>
          <w:rFonts w:hint="cs"/>
          <w:b/>
          <w:bCs/>
          <w:u w:val="single"/>
          <w:rtl/>
        </w:rPr>
        <w:t>שתי החלטות מיום 7.11.2024</w:t>
      </w:r>
    </w:p>
    <w:p w:rsidR="00CB66DA" w:rsidRDefault="00CB66DA" w:rsidP="00CB66DA">
      <w:pPr>
        <w:spacing w:after="120" w:line="360" w:lineRule="auto"/>
        <w:ind w:left="720" w:hanging="720"/>
        <w:jc w:val="both"/>
        <w:rPr>
          <w:rtl/>
        </w:rPr>
      </w:pPr>
      <w:r>
        <w:rPr>
          <w:rFonts w:hint="cs"/>
          <w:rtl/>
        </w:rPr>
        <w:t>17.</w:t>
      </w:r>
      <w:r>
        <w:rPr>
          <w:rFonts w:hint="cs"/>
          <w:rtl/>
        </w:rPr>
        <w:tab/>
      </w:r>
      <w:r w:rsidRPr="005F280B">
        <w:rPr>
          <w:rFonts w:hint="cs"/>
          <w:u w:val="single"/>
          <w:rtl/>
        </w:rPr>
        <w:t>ההחלטה הראשונה שניתנה ביום 7.11.24, ניתנה בזיקה לבקשת המבקש, והורתה, בין היתר, כדלקמן</w:t>
      </w:r>
      <w:r>
        <w:rPr>
          <w:rFonts w:hint="cs"/>
          <w:rtl/>
        </w:rPr>
        <w:t>:</w:t>
      </w:r>
    </w:p>
    <w:p w:rsidR="00CB66DA" w:rsidRPr="007E3D18" w:rsidRDefault="00CB66DA" w:rsidP="00DB145D">
      <w:pPr>
        <w:spacing w:after="120" w:line="360" w:lineRule="auto"/>
        <w:ind w:left="720" w:hanging="720"/>
        <w:jc w:val="both"/>
        <w:rPr>
          <w:b/>
          <w:bCs/>
          <w:rtl/>
        </w:rPr>
      </w:pPr>
      <w:r>
        <w:rPr>
          <w:rtl/>
        </w:rPr>
        <w:tab/>
      </w:r>
      <w:r>
        <w:rPr>
          <w:rFonts w:hint="cs"/>
          <w:rtl/>
        </w:rPr>
        <w:t>"</w:t>
      </w:r>
      <w:r w:rsidR="00DB145D">
        <w:rPr>
          <w:b/>
          <w:bCs/>
          <w:rtl/>
        </w:rPr>
        <w:t>לענין עירוב לשכת הרווחה ב</w:t>
      </w:r>
      <w:r w:rsidR="00DB145D">
        <w:rPr>
          <w:rFonts w:hint="cs"/>
          <w:b/>
          <w:bCs/>
          <w:rtl/>
        </w:rPr>
        <w:t>-</w:t>
      </w:r>
      <w:r w:rsidR="00DB145D">
        <w:rPr>
          <w:rFonts w:hint="cs"/>
          <w:b/>
          <w:bCs/>
        </w:rPr>
        <w:t>X</w:t>
      </w:r>
      <w:r w:rsidRPr="007E3D18">
        <w:rPr>
          <w:b/>
          <w:bCs/>
          <w:rtl/>
        </w:rPr>
        <w:t xml:space="preserve"> - עו"ס</w:t>
      </w:r>
      <w:r w:rsidRPr="007E3D18">
        <w:rPr>
          <w:rFonts w:hint="cs"/>
          <w:b/>
          <w:bCs/>
          <w:rtl/>
        </w:rPr>
        <w:t xml:space="preserve"> </w:t>
      </w:r>
      <w:r w:rsidRPr="007E3D18">
        <w:rPr>
          <w:b/>
          <w:bCs/>
          <w:rtl/>
        </w:rPr>
        <w:t xml:space="preserve">מתבקשת לשקול מעורבות </w:t>
      </w:r>
      <w:r w:rsidR="00DB145D">
        <w:rPr>
          <w:b/>
          <w:bCs/>
          <w:rtl/>
        </w:rPr>
        <w:t>לשכת הרווחה ב</w:t>
      </w:r>
      <w:r w:rsidR="00DB145D">
        <w:rPr>
          <w:rFonts w:hint="cs"/>
          <w:b/>
          <w:bCs/>
          <w:rtl/>
        </w:rPr>
        <w:t>-</w:t>
      </w:r>
      <w:r w:rsidR="00DB145D">
        <w:rPr>
          <w:rFonts w:hint="cs"/>
          <w:b/>
          <w:bCs/>
        </w:rPr>
        <w:t>X</w:t>
      </w:r>
      <w:r w:rsidRPr="007E3D18">
        <w:rPr>
          <w:rFonts w:hint="cs"/>
          <w:b/>
          <w:bCs/>
          <w:rtl/>
        </w:rPr>
        <w:t xml:space="preserve"> </w:t>
      </w:r>
      <w:r w:rsidRPr="007E3D18">
        <w:rPr>
          <w:b/>
          <w:bCs/>
          <w:rtl/>
        </w:rPr>
        <w:t>בהכנת התסקיר, והדבר ייעשה בהתאם לנהלי לשכת</w:t>
      </w:r>
      <w:r w:rsidRPr="007E3D18">
        <w:rPr>
          <w:rFonts w:hint="cs"/>
          <w:b/>
          <w:bCs/>
          <w:rtl/>
        </w:rPr>
        <w:t xml:space="preserve"> </w:t>
      </w:r>
      <w:r w:rsidRPr="007E3D18">
        <w:rPr>
          <w:b/>
          <w:bCs/>
          <w:rtl/>
        </w:rPr>
        <w:t>הרווחה ובהתאם לשיקול דעתה המקצועי.</w:t>
      </w:r>
    </w:p>
    <w:p w:rsidR="00CB66DA" w:rsidRPr="007E3D18" w:rsidRDefault="00CB66DA" w:rsidP="00DB145D">
      <w:pPr>
        <w:spacing w:after="120" w:line="360" w:lineRule="auto"/>
        <w:ind w:left="720" w:hanging="720"/>
        <w:jc w:val="both"/>
        <w:rPr>
          <w:b/>
          <w:bCs/>
          <w:rtl/>
        </w:rPr>
      </w:pPr>
      <w:r w:rsidRPr="007E3D18">
        <w:rPr>
          <w:b/>
          <w:bCs/>
          <w:rtl/>
        </w:rPr>
        <w:tab/>
        <w:t>לעניין מינוי מתאם הורי - בשלב זה, משהתיק</w:t>
      </w:r>
      <w:r w:rsidRPr="007E3D18">
        <w:rPr>
          <w:rFonts w:hint="cs"/>
          <w:b/>
          <w:bCs/>
          <w:rtl/>
        </w:rPr>
        <w:t xml:space="preserve"> </w:t>
      </w:r>
      <w:r w:rsidRPr="007E3D18">
        <w:rPr>
          <w:b/>
          <w:bCs/>
          <w:rtl/>
        </w:rPr>
        <w:t>תלוי ועומד, ובצל מעורבות שירותי הרווחה, אין מקום</w:t>
      </w:r>
      <w:r w:rsidRPr="007E3D18">
        <w:rPr>
          <w:rFonts w:hint="cs"/>
          <w:b/>
          <w:bCs/>
          <w:rtl/>
        </w:rPr>
        <w:t xml:space="preserve"> </w:t>
      </w:r>
      <w:r w:rsidRPr="007E3D18">
        <w:rPr>
          <w:b/>
          <w:bCs/>
          <w:rtl/>
        </w:rPr>
        <w:t>למינוי מתאם הורי. הדבר יישקל בהמשך.</w:t>
      </w:r>
    </w:p>
    <w:p w:rsidR="00CB66DA" w:rsidRPr="00DA24A7" w:rsidRDefault="00CB66DA" w:rsidP="00CB66DA">
      <w:pPr>
        <w:spacing w:after="120" w:line="360" w:lineRule="auto"/>
        <w:ind w:left="720" w:hanging="720"/>
        <w:rPr>
          <w:rtl/>
        </w:rPr>
      </w:pPr>
      <w:r w:rsidRPr="007E3D18">
        <w:rPr>
          <w:b/>
          <w:bCs/>
          <w:rtl/>
        </w:rPr>
        <w:tab/>
      </w:r>
      <w:r w:rsidRPr="007E3D18">
        <w:rPr>
          <w:rFonts w:hint="cs"/>
          <w:b/>
          <w:bCs/>
          <w:rtl/>
        </w:rPr>
        <w:t>..."</w:t>
      </w:r>
      <w:r>
        <w:rPr>
          <w:rFonts w:hint="cs"/>
          <w:b/>
          <w:bCs/>
          <w:rtl/>
        </w:rPr>
        <w:t>.</w:t>
      </w:r>
    </w:p>
    <w:p w:rsidR="00CB66DA" w:rsidRDefault="00CB66DA" w:rsidP="00CB66DA">
      <w:pPr>
        <w:spacing w:after="120" w:line="360" w:lineRule="auto"/>
        <w:ind w:left="720" w:hanging="720"/>
        <w:jc w:val="both"/>
        <w:rPr>
          <w:rtl/>
        </w:rPr>
      </w:pPr>
      <w:r w:rsidRPr="00DA24A7">
        <w:rPr>
          <w:rFonts w:hint="cs"/>
          <w:rtl/>
        </w:rPr>
        <w:t>18.</w:t>
      </w:r>
      <w:r w:rsidRPr="00DA24A7">
        <w:rPr>
          <w:rFonts w:hint="cs"/>
          <w:rtl/>
        </w:rPr>
        <w:tab/>
      </w:r>
      <w:r w:rsidRPr="00A94C5B">
        <w:rPr>
          <w:rFonts w:hint="cs"/>
          <w:rtl/>
        </w:rPr>
        <w:t>ההחלטה השנייה מיום 7.11.24,</w:t>
      </w:r>
      <w:r>
        <w:rPr>
          <w:rFonts w:hint="cs"/>
          <w:rtl/>
        </w:rPr>
        <w:t xml:space="preserve"> עסקה במתן הוראות לעו"ס, להגשת תסקיר</w:t>
      </w:r>
      <w:r>
        <w:rPr>
          <w:rtl/>
        </w:rPr>
        <w:t xml:space="preserve"> בהתאם לנהלי עבודת לשכת</w:t>
      </w:r>
      <w:r>
        <w:rPr>
          <w:rFonts w:hint="cs"/>
          <w:rtl/>
        </w:rPr>
        <w:t xml:space="preserve"> </w:t>
      </w:r>
      <w:r>
        <w:rPr>
          <w:rtl/>
        </w:rPr>
        <w:t xml:space="preserve">הרווחה, במסגרתו תפרט </w:t>
      </w:r>
      <w:r>
        <w:rPr>
          <w:rFonts w:hint="cs"/>
          <w:rtl/>
        </w:rPr>
        <w:t>בין היתר, את רקע</w:t>
      </w:r>
      <w:r>
        <w:rPr>
          <w:rtl/>
        </w:rPr>
        <w:t xml:space="preserve"> המשפחה </w:t>
      </w:r>
      <w:r>
        <w:rPr>
          <w:rFonts w:hint="cs"/>
          <w:rtl/>
        </w:rPr>
        <w:t xml:space="preserve">ומאפייניה </w:t>
      </w:r>
      <w:r>
        <w:rPr>
          <w:rtl/>
        </w:rPr>
        <w:t>ופרטי הקטינה</w:t>
      </w:r>
      <w:r>
        <w:rPr>
          <w:rFonts w:hint="cs"/>
          <w:rtl/>
        </w:rPr>
        <w:t xml:space="preserve">; </w:t>
      </w:r>
      <w:r>
        <w:rPr>
          <w:rtl/>
        </w:rPr>
        <w:t>משמורת וזמני שהות- מצב נוכחי</w:t>
      </w:r>
      <w:r>
        <w:rPr>
          <w:rFonts w:hint="cs"/>
          <w:rtl/>
        </w:rPr>
        <w:t xml:space="preserve">, וחלופות מוצעות; </w:t>
      </w:r>
      <w:r>
        <w:rPr>
          <w:rtl/>
        </w:rPr>
        <w:t>מקורות איסוף המדיע וגורמי טיפולי נוספים מעורבים</w:t>
      </w:r>
      <w:r>
        <w:rPr>
          <w:rFonts w:hint="cs"/>
          <w:rtl/>
        </w:rPr>
        <w:t xml:space="preserve"> </w:t>
      </w:r>
      <w:r>
        <w:rPr>
          <w:rtl/>
        </w:rPr>
        <w:t>שטיפלו במשפחה (עו"ס תערוך ביקורי בית וכן תקבל</w:t>
      </w:r>
      <w:r>
        <w:rPr>
          <w:rFonts w:hint="cs"/>
          <w:rtl/>
        </w:rPr>
        <w:t xml:space="preserve"> </w:t>
      </w:r>
      <w:r>
        <w:rPr>
          <w:rtl/>
        </w:rPr>
        <w:t>אינפורמציה ודיווח גם מהגננת של הקטינה)</w:t>
      </w:r>
      <w:r>
        <w:rPr>
          <w:rFonts w:hint="cs"/>
          <w:rtl/>
        </w:rPr>
        <w:t xml:space="preserve">; </w:t>
      </w:r>
      <w:r>
        <w:rPr>
          <w:rtl/>
        </w:rPr>
        <w:t>הערכת מצב הקטינה וטובתה</w:t>
      </w:r>
      <w:r>
        <w:rPr>
          <w:rFonts w:hint="cs"/>
          <w:rtl/>
        </w:rPr>
        <w:t>;</w:t>
      </w:r>
      <w:r>
        <w:rPr>
          <w:rtl/>
        </w:rPr>
        <w:t xml:space="preserve"> תיאור והערכת הקשר של הילד עם כל אחד מן ההורים</w:t>
      </w:r>
      <w:r>
        <w:rPr>
          <w:rFonts w:hint="cs"/>
          <w:rtl/>
        </w:rPr>
        <w:t xml:space="preserve"> </w:t>
      </w:r>
      <w:r>
        <w:rPr>
          <w:rtl/>
        </w:rPr>
        <w:t>ועם המשפחה</w:t>
      </w:r>
      <w:r>
        <w:rPr>
          <w:rFonts w:hint="cs"/>
          <w:rtl/>
        </w:rPr>
        <w:t xml:space="preserve">; </w:t>
      </w:r>
      <w:r>
        <w:rPr>
          <w:rtl/>
        </w:rPr>
        <w:t>תמונת מצב הורית</w:t>
      </w:r>
      <w:r>
        <w:rPr>
          <w:rFonts w:hint="cs"/>
          <w:rtl/>
        </w:rPr>
        <w:t>;</w:t>
      </w:r>
      <w:r>
        <w:rPr>
          <w:rtl/>
        </w:rPr>
        <w:t xml:space="preserve"> הערכה מסכמת של עו"ס סדרי דין</w:t>
      </w:r>
      <w:r>
        <w:rPr>
          <w:rFonts w:hint="cs"/>
          <w:rtl/>
        </w:rPr>
        <w:t xml:space="preserve"> ו</w:t>
      </w:r>
      <w:r>
        <w:rPr>
          <w:rtl/>
        </w:rPr>
        <w:t>המלצות.</w:t>
      </w:r>
    </w:p>
    <w:p w:rsidR="00CB66DA" w:rsidRDefault="00CB66DA" w:rsidP="00CB66DA">
      <w:pPr>
        <w:spacing w:after="120" w:line="360" w:lineRule="auto"/>
        <w:ind w:left="720" w:hanging="720"/>
        <w:jc w:val="both"/>
        <w:rPr>
          <w:rtl/>
        </w:rPr>
      </w:pPr>
      <w:r>
        <w:rPr>
          <w:rtl/>
        </w:rPr>
        <w:tab/>
      </w:r>
      <w:r>
        <w:rPr>
          <w:rFonts w:hint="cs"/>
          <w:rtl/>
        </w:rPr>
        <w:t>ה</w:t>
      </w:r>
      <w:r>
        <w:rPr>
          <w:rtl/>
        </w:rPr>
        <w:t xml:space="preserve">ודגש כי </w:t>
      </w:r>
      <w:r>
        <w:rPr>
          <w:rFonts w:hint="cs"/>
          <w:rtl/>
        </w:rPr>
        <w:t>ה</w:t>
      </w:r>
      <w:r>
        <w:rPr>
          <w:rtl/>
        </w:rPr>
        <w:t>עו"ס מתבקשת ליתן המלצותיה לעניין זמני השהות</w:t>
      </w:r>
      <w:r>
        <w:rPr>
          <w:rFonts w:hint="cs"/>
          <w:rtl/>
        </w:rPr>
        <w:t xml:space="preserve"> </w:t>
      </w:r>
      <w:r>
        <w:rPr>
          <w:rtl/>
        </w:rPr>
        <w:t>בין האב לקטינה, העתקת מקום המגורים וזהות מסגרת</w:t>
      </w:r>
      <w:r>
        <w:rPr>
          <w:rFonts w:hint="cs"/>
          <w:rtl/>
        </w:rPr>
        <w:t xml:space="preserve"> </w:t>
      </w:r>
      <w:r>
        <w:rPr>
          <w:rtl/>
        </w:rPr>
        <w:t>החינוך של הקטינה, והכל בראי טובת הקטינה.</w:t>
      </w:r>
    </w:p>
    <w:p w:rsidR="00CB66DA" w:rsidRDefault="00CB66DA" w:rsidP="00CB66DA">
      <w:pPr>
        <w:spacing w:after="120" w:line="360" w:lineRule="auto"/>
        <w:ind w:left="720" w:hanging="720"/>
        <w:jc w:val="both"/>
        <w:rPr>
          <w:rtl/>
        </w:rPr>
      </w:pPr>
      <w:r>
        <w:rPr>
          <w:rtl/>
        </w:rPr>
        <w:tab/>
      </w:r>
      <w:r w:rsidRPr="00CF20F1">
        <w:rPr>
          <w:rtl/>
        </w:rPr>
        <w:t xml:space="preserve">בקשת רשות הערעור דנן הוגשה </w:t>
      </w:r>
      <w:r>
        <w:rPr>
          <w:rFonts w:hint="cs"/>
          <w:rtl/>
        </w:rPr>
        <w:t xml:space="preserve">אף </w:t>
      </w:r>
      <w:r w:rsidRPr="00CF20F1">
        <w:rPr>
          <w:rtl/>
        </w:rPr>
        <w:t xml:space="preserve">בגין </w:t>
      </w:r>
      <w:r>
        <w:rPr>
          <w:rFonts w:hint="cs"/>
          <w:rtl/>
        </w:rPr>
        <w:t xml:space="preserve">שתי </w:t>
      </w:r>
      <w:r>
        <w:rPr>
          <w:rtl/>
        </w:rPr>
        <w:t>החלט</w:t>
      </w:r>
      <w:r>
        <w:rPr>
          <w:rFonts w:hint="cs"/>
          <w:rtl/>
        </w:rPr>
        <w:t>ות</w:t>
      </w:r>
      <w:r w:rsidRPr="00CF20F1">
        <w:rPr>
          <w:rtl/>
        </w:rPr>
        <w:t xml:space="preserve"> </w:t>
      </w:r>
      <w:r>
        <w:rPr>
          <w:rFonts w:hint="cs"/>
          <w:rtl/>
        </w:rPr>
        <w:t>אלו.</w:t>
      </w:r>
    </w:p>
    <w:p w:rsidR="00052FBA" w:rsidRDefault="00052FBA" w:rsidP="00CB66DA">
      <w:pPr>
        <w:spacing w:after="120" w:line="360" w:lineRule="auto"/>
        <w:ind w:left="720" w:hanging="720"/>
        <w:jc w:val="both"/>
        <w:rPr>
          <w:rtl/>
        </w:rPr>
      </w:pPr>
    </w:p>
    <w:p w:rsidR="00CB66DA" w:rsidRPr="00A06B0E" w:rsidRDefault="00CB66DA" w:rsidP="00CB66DA">
      <w:pPr>
        <w:spacing w:after="120" w:line="360" w:lineRule="auto"/>
        <w:ind w:left="720" w:hanging="720"/>
        <w:jc w:val="both"/>
        <w:rPr>
          <w:b/>
          <w:bCs/>
          <w:u w:val="single"/>
          <w:rtl/>
        </w:rPr>
      </w:pPr>
      <w:r w:rsidRPr="00A06B0E">
        <w:rPr>
          <w:rFonts w:hint="cs"/>
          <w:b/>
          <w:bCs/>
          <w:u w:val="single"/>
          <w:rtl/>
        </w:rPr>
        <w:t>החלטה מיום 12.11.24</w:t>
      </w:r>
    </w:p>
    <w:p w:rsidR="00CB66DA" w:rsidRDefault="00CB66DA" w:rsidP="005C2D68">
      <w:pPr>
        <w:spacing w:after="120" w:line="360" w:lineRule="auto"/>
        <w:ind w:left="720" w:hanging="720"/>
        <w:jc w:val="both"/>
        <w:rPr>
          <w:rtl/>
        </w:rPr>
      </w:pPr>
      <w:r>
        <w:rPr>
          <w:rFonts w:hint="cs"/>
          <w:rtl/>
        </w:rPr>
        <w:t>19.</w:t>
      </w:r>
      <w:r>
        <w:rPr>
          <w:rFonts w:hint="cs"/>
          <w:rtl/>
        </w:rPr>
        <w:tab/>
        <w:t>בהמשך להחלטה קמא מיום 7.11.24, בדבר הכנת תסקיר הרווחה, הגישה העו"ס הודעה לתיק. במסגרתה ציינה כי המבקש</w:t>
      </w:r>
      <w:r>
        <w:rPr>
          <w:rtl/>
        </w:rPr>
        <w:t xml:space="preserve"> זומן לפגישה </w:t>
      </w:r>
      <w:r>
        <w:rPr>
          <w:rFonts w:hint="cs"/>
          <w:rtl/>
        </w:rPr>
        <w:t xml:space="preserve">על ידי העו"ס ליום </w:t>
      </w:r>
      <w:r>
        <w:rPr>
          <w:rtl/>
        </w:rPr>
        <w:t>11.11.2024</w:t>
      </w:r>
      <w:r>
        <w:rPr>
          <w:rFonts w:hint="cs"/>
          <w:rtl/>
        </w:rPr>
        <w:t xml:space="preserve">. </w:t>
      </w:r>
      <w:r>
        <w:rPr>
          <w:rtl/>
        </w:rPr>
        <w:t xml:space="preserve">בפגישה </w:t>
      </w:r>
      <w:r>
        <w:rPr>
          <w:rFonts w:hint="cs"/>
          <w:rtl/>
        </w:rPr>
        <w:t>זו</w:t>
      </w:r>
      <w:r>
        <w:rPr>
          <w:rtl/>
        </w:rPr>
        <w:t xml:space="preserve"> טען </w:t>
      </w:r>
      <w:r>
        <w:rPr>
          <w:rFonts w:hint="cs"/>
          <w:rtl/>
        </w:rPr>
        <w:t xml:space="preserve">המבקש, כי </w:t>
      </w:r>
      <w:r>
        <w:rPr>
          <w:rtl/>
        </w:rPr>
        <w:t xml:space="preserve">אין </w:t>
      </w:r>
      <w:r>
        <w:rPr>
          <w:rFonts w:hint="cs"/>
          <w:rtl/>
        </w:rPr>
        <w:t xml:space="preserve">לעו"ס </w:t>
      </w:r>
      <w:r>
        <w:rPr>
          <w:rtl/>
        </w:rPr>
        <w:t xml:space="preserve">לסדרי דין סמכות </w:t>
      </w:r>
      <w:r>
        <w:rPr>
          <w:rFonts w:hint="cs"/>
          <w:rtl/>
        </w:rPr>
        <w:t>להמליץ</w:t>
      </w:r>
      <w:r>
        <w:rPr>
          <w:rtl/>
        </w:rPr>
        <w:t xml:space="preserve"> בשאלת המסגרת החינוכית של</w:t>
      </w:r>
      <w:r>
        <w:rPr>
          <w:rFonts w:hint="cs"/>
          <w:rtl/>
        </w:rPr>
        <w:t xml:space="preserve"> </w:t>
      </w:r>
      <w:r>
        <w:rPr>
          <w:rtl/>
        </w:rPr>
        <w:t>הקטינה</w:t>
      </w:r>
      <w:r>
        <w:rPr>
          <w:rFonts w:hint="cs"/>
          <w:rtl/>
        </w:rPr>
        <w:t>,</w:t>
      </w:r>
      <w:r>
        <w:rPr>
          <w:rtl/>
        </w:rPr>
        <w:t xml:space="preserve"> לאחר שהמומחה נתן כבר המלצותיו בסוגיה</w:t>
      </w:r>
      <w:r>
        <w:rPr>
          <w:rFonts w:hint="cs"/>
          <w:rtl/>
        </w:rPr>
        <w:t xml:space="preserve">. כן ציין המבקש, </w:t>
      </w:r>
      <w:r>
        <w:rPr>
          <w:rtl/>
        </w:rPr>
        <w:t>כי ביקש תסקיר שייתן מענה</w:t>
      </w:r>
      <w:r>
        <w:rPr>
          <w:rFonts w:hint="cs"/>
          <w:rtl/>
        </w:rPr>
        <w:t xml:space="preserve"> </w:t>
      </w:r>
      <w:r>
        <w:rPr>
          <w:rtl/>
        </w:rPr>
        <w:t>לשאלות הפתוחות שנותרו לאחר חוות דעת המומחה</w:t>
      </w:r>
      <w:r>
        <w:rPr>
          <w:rFonts w:hint="cs"/>
          <w:rtl/>
        </w:rPr>
        <w:t xml:space="preserve">; </w:t>
      </w:r>
      <w:r>
        <w:rPr>
          <w:rtl/>
        </w:rPr>
        <w:t>דהיינו בהתאם לחוות דעת המומחה</w:t>
      </w:r>
      <w:r>
        <w:rPr>
          <w:rFonts w:hint="cs"/>
          <w:rtl/>
        </w:rPr>
        <w:t>,</w:t>
      </w:r>
      <w:r>
        <w:rPr>
          <w:rtl/>
        </w:rPr>
        <w:t xml:space="preserve"> </w:t>
      </w:r>
      <w:r>
        <w:rPr>
          <w:rFonts w:hint="cs"/>
          <w:rtl/>
        </w:rPr>
        <w:t xml:space="preserve">הקטינה </w:t>
      </w:r>
      <w:r>
        <w:rPr>
          <w:rtl/>
        </w:rPr>
        <w:t xml:space="preserve">תלמד </w:t>
      </w:r>
      <w:r w:rsidR="005C2D68">
        <w:rPr>
          <w:rFonts w:hint="cs"/>
          <w:rtl/>
        </w:rPr>
        <w:t>ב-</w:t>
      </w:r>
      <w:r w:rsidR="005C2D68">
        <w:rPr>
          <w:rFonts w:hint="cs"/>
        </w:rPr>
        <w:t>X</w:t>
      </w:r>
      <w:r>
        <w:rPr>
          <w:rtl/>
        </w:rPr>
        <w:t xml:space="preserve"> ועו</w:t>
      </w:r>
      <w:r>
        <w:rPr>
          <w:rFonts w:hint="cs"/>
          <w:rtl/>
        </w:rPr>
        <w:t>"</w:t>
      </w:r>
      <w:r>
        <w:rPr>
          <w:rtl/>
        </w:rPr>
        <w:t xml:space="preserve">ס לסדרי דין </w:t>
      </w:r>
      <w:r>
        <w:rPr>
          <w:rFonts w:hint="cs"/>
          <w:rtl/>
        </w:rPr>
        <w:t>ת</w:t>
      </w:r>
      <w:r>
        <w:rPr>
          <w:rtl/>
        </w:rPr>
        <w:t>גיש המלצותי</w:t>
      </w:r>
      <w:r>
        <w:rPr>
          <w:rFonts w:hint="cs"/>
          <w:rtl/>
        </w:rPr>
        <w:t xml:space="preserve">ה </w:t>
      </w:r>
      <w:r>
        <w:rPr>
          <w:rtl/>
        </w:rPr>
        <w:t>לעניין סידורי ההיסעים בין</w:t>
      </w:r>
      <w:r>
        <w:rPr>
          <w:rFonts w:hint="cs"/>
          <w:rtl/>
        </w:rPr>
        <w:t xml:space="preserve"> הצדדים בלבד.</w:t>
      </w:r>
    </w:p>
    <w:p w:rsidR="00CB66DA" w:rsidRDefault="00CB66DA" w:rsidP="00FC4DD3">
      <w:pPr>
        <w:spacing w:after="120" w:line="360" w:lineRule="auto"/>
        <w:ind w:left="720" w:hanging="720"/>
        <w:jc w:val="both"/>
        <w:rPr>
          <w:rtl/>
        </w:rPr>
      </w:pPr>
      <w:r>
        <w:rPr>
          <w:rtl/>
        </w:rPr>
        <w:tab/>
      </w:r>
      <w:r>
        <w:rPr>
          <w:rFonts w:hint="cs"/>
          <w:rtl/>
        </w:rPr>
        <w:t>במצב זה ציינה העו"ס בפנייתה לבית המשפט, לא ניתן להתקדם בהכנת התסקיר כפי שהתבקשה.</w:t>
      </w:r>
    </w:p>
    <w:p w:rsidR="00CB66DA" w:rsidRDefault="00CB66DA" w:rsidP="00CB66DA">
      <w:pPr>
        <w:spacing w:after="120" w:line="360" w:lineRule="auto"/>
        <w:ind w:left="720" w:hanging="720"/>
        <w:jc w:val="both"/>
        <w:rPr>
          <w:rtl/>
        </w:rPr>
      </w:pPr>
      <w:r>
        <w:rPr>
          <w:rFonts w:hint="cs"/>
          <w:rtl/>
        </w:rPr>
        <w:lastRenderedPageBreak/>
        <w:t>20.</w:t>
      </w:r>
      <w:r>
        <w:rPr>
          <w:rFonts w:hint="cs"/>
          <w:rtl/>
        </w:rPr>
        <w:tab/>
        <w:t>בית משפט קמא נתן החלטתו כהאי לישנא: "</w:t>
      </w:r>
      <w:r w:rsidRPr="008C006E">
        <w:rPr>
          <w:b/>
          <w:bCs/>
          <w:rtl/>
        </w:rPr>
        <w:t>עו"ס מתבקשת להגיש התסקיר שהוזמן</w:t>
      </w:r>
      <w:r w:rsidRPr="008C006E">
        <w:rPr>
          <w:rFonts w:hint="cs"/>
          <w:b/>
          <w:bCs/>
          <w:rtl/>
        </w:rPr>
        <w:t xml:space="preserve"> </w:t>
      </w:r>
      <w:r w:rsidRPr="008C006E">
        <w:rPr>
          <w:b/>
          <w:bCs/>
          <w:rtl/>
        </w:rPr>
        <w:t>בהתאם להנחיות אשר פורטו בהחלטתי</w:t>
      </w:r>
      <w:r w:rsidRPr="008C006E">
        <w:rPr>
          <w:rFonts w:hint="cs"/>
          <w:b/>
          <w:bCs/>
          <w:rtl/>
        </w:rPr>
        <w:t xml:space="preserve"> </w:t>
      </w:r>
      <w:r w:rsidRPr="008C006E">
        <w:rPr>
          <w:b/>
          <w:bCs/>
          <w:rtl/>
        </w:rPr>
        <w:t>מיום 7.11.24</w:t>
      </w:r>
      <w:r w:rsidRPr="008C006E">
        <w:rPr>
          <w:rFonts w:hint="cs"/>
          <w:b/>
          <w:bCs/>
          <w:rtl/>
        </w:rPr>
        <w:t xml:space="preserve">. </w:t>
      </w:r>
      <w:r w:rsidRPr="008C006E">
        <w:rPr>
          <w:b/>
          <w:bCs/>
          <w:rtl/>
        </w:rPr>
        <w:t>לצורך כך, עו"ס תתאם פגישה עם האב.</w:t>
      </w:r>
      <w:r w:rsidRPr="008C006E">
        <w:rPr>
          <w:rFonts w:hint="cs"/>
          <w:b/>
          <w:bCs/>
          <w:rtl/>
        </w:rPr>
        <w:t xml:space="preserve"> </w:t>
      </w:r>
      <w:r w:rsidRPr="008C006E">
        <w:rPr>
          <w:b/>
          <w:bCs/>
          <w:rtl/>
        </w:rPr>
        <w:t>ככל והאב לא יתייצב לפגישה, הוא יחויב</w:t>
      </w:r>
      <w:r w:rsidRPr="008C006E">
        <w:rPr>
          <w:rFonts w:hint="cs"/>
          <w:b/>
          <w:bCs/>
          <w:rtl/>
        </w:rPr>
        <w:t xml:space="preserve"> </w:t>
      </w:r>
      <w:r w:rsidRPr="008C006E">
        <w:rPr>
          <w:b/>
          <w:bCs/>
          <w:rtl/>
        </w:rPr>
        <w:t>בהוצאות לטובת אוצר המדינה בסך של</w:t>
      </w:r>
      <w:r w:rsidRPr="008C006E">
        <w:rPr>
          <w:rFonts w:hint="cs"/>
          <w:b/>
          <w:bCs/>
          <w:rtl/>
        </w:rPr>
        <w:t xml:space="preserve"> </w:t>
      </w:r>
      <w:r w:rsidRPr="008C006E">
        <w:rPr>
          <w:b/>
          <w:bCs/>
          <w:rtl/>
        </w:rPr>
        <w:t>1,000 ש"ח.</w:t>
      </w:r>
      <w:r w:rsidRPr="008C006E">
        <w:rPr>
          <w:rFonts w:hint="cs"/>
          <w:b/>
          <w:bCs/>
          <w:rtl/>
        </w:rPr>
        <w:t xml:space="preserve"> </w:t>
      </w:r>
      <w:r w:rsidRPr="008C006E">
        <w:rPr>
          <w:b/>
          <w:bCs/>
          <w:rtl/>
        </w:rPr>
        <w:t>עו"ס מתבקשת לדווח אודות ביצוע החלטתי</w:t>
      </w:r>
      <w:r w:rsidRPr="008C006E">
        <w:rPr>
          <w:rFonts w:hint="cs"/>
          <w:b/>
          <w:bCs/>
          <w:rtl/>
        </w:rPr>
        <w:t xml:space="preserve"> </w:t>
      </w:r>
      <w:r w:rsidRPr="008C006E">
        <w:rPr>
          <w:b/>
          <w:bCs/>
          <w:rtl/>
        </w:rPr>
        <w:t>זו</w:t>
      </w:r>
      <w:r>
        <w:rPr>
          <w:rFonts w:hint="cs"/>
          <w:rtl/>
        </w:rPr>
        <w:t>"</w:t>
      </w:r>
      <w:r>
        <w:rPr>
          <w:rtl/>
        </w:rPr>
        <w:t>.</w:t>
      </w:r>
    </w:p>
    <w:p w:rsidR="00CB66DA" w:rsidRDefault="00CB66DA" w:rsidP="00052FBA">
      <w:pPr>
        <w:spacing w:after="120" w:line="360" w:lineRule="auto"/>
        <w:ind w:left="720" w:hanging="720"/>
        <w:jc w:val="both"/>
        <w:rPr>
          <w:rtl/>
        </w:rPr>
      </w:pPr>
      <w:r>
        <w:rPr>
          <w:rtl/>
        </w:rPr>
        <w:tab/>
      </w:r>
      <w:r w:rsidRPr="00CF20F1">
        <w:rPr>
          <w:rtl/>
        </w:rPr>
        <w:t xml:space="preserve">בקשת רשות הערעור דנן הוגשה </w:t>
      </w:r>
      <w:r>
        <w:rPr>
          <w:rFonts w:hint="cs"/>
          <w:rtl/>
        </w:rPr>
        <w:t xml:space="preserve">אף </w:t>
      </w:r>
      <w:r w:rsidRPr="00CF20F1">
        <w:rPr>
          <w:rtl/>
        </w:rPr>
        <w:t>בגין החלטה זו</w:t>
      </w:r>
      <w:r>
        <w:rPr>
          <w:rFonts w:hint="cs"/>
          <w:rtl/>
        </w:rPr>
        <w:t>.</w:t>
      </w:r>
    </w:p>
    <w:p w:rsidR="00CB66DA" w:rsidRDefault="00CB66DA" w:rsidP="00CB66DA">
      <w:pPr>
        <w:spacing w:after="120" w:line="360" w:lineRule="auto"/>
        <w:ind w:left="720" w:hanging="720"/>
        <w:jc w:val="both"/>
        <w:rPr>
          <w:rtl/>
        </w:rPr>
      </w:pPr>
    </w:p>
    <w:p w:rsidR="00CB66DA" w:rsidRPr="006A7633" w:rsidRDefault="00CB66DA" w:rsidP="00CB66DA">
      <w:pPr>
        <w:spacing w:after="120" w:line="360" w:lineRule="auto"/>
        <w:ind w:left="720" w:hanging="720"/>
        <w:jc w:val="both"/>
        <w:rPr>
          <w:b/>
          <w:bCs/>
          <w:u w:val="single"/>
          <w:rtl/>
        </w:rPr>
      </w:pPr>
      <w:r w:rsidRPr="006A7633">
        <w:rPr>
          <w:rFonts w:hint="cs"/>
          <w:b/>
          <w:bCs/>
          <w:u w:val="single"/>
          <w:rtl/>
        </w:rPr>
        <w:t>החלטה מיום 14.11.24</w:t>
      </w:r>
    </w:p>
    <w:p w:rsidR="00CB66DA" w:rsidRDefault="00CB66DA" w:rsidP="005C2D68">
      <w:pPr>
        <w:spacing w:after="120" w:line="360" w:lineRule="auto"/>
        <w:ind w:left="720" w:hanging="720"/>
        <w:jc w:val="both"/>
        <w:rPr>
          <w:rtl/>
        </w:rPr>
      </w:pPr>
      <w:r>
        <w:rPr>
          <w:rFonts w:hint="cs"/>
          <w:rtl/>
        </w:rPr>
        <w:t>21.</w:t>
      </w:r>
      <w:r>
        <w:rPr>
          <w:rtl/>
        </w:rPr>
        <w:tab/>
      </w:r>
      <w:r>
        <w:rPr>
          <w:rFonts w:hint="cs"/>
          <w:rtl/>
        </w:rPr>
        <w:t xml:space="preserve">ביום 13.11.24, הגיש המבקש "בקשה לעיון חוזר" בתיק קמא. במסגרת בקשתו, ביקש </w:t>
      </w:r>
      <w:r>
        <w:rPr>
          <w:rtl/>
        </w:rPr>
        <w:t>לערוך עיון חוזר בהחלט</w:t>
      </w:r>
      <w:r>
        <w:rPr>
          <w:rFonts w:hint="cs"/>
          <w:rtl/>
        </w:rPr>
        <w:t>ה מיום 7.11.24,</w:t>
      </w:r>
      <w:r>
        <w:rPr>
          <w:rtl/>
        </w:rPr>
        <w:t xml:space="preserve"> בענין ההנחיות שניתנו למשרד הרווחה</w:t>
      </w:r>
      <w:r>
        <w:rPr>
          <w:rFonts w:hint="cs"/>
          <w:rtl/>
        </w:rPr>
        <w:t xml:space="preserve"> </w:t>
      </w:r>
      <w:r>
        <w:rPr>
          <w:rtl/>
        </w:rPr>
        <w:t xml:space="preserve">וכן בהענקת הסמכות להכרעה בענין עירוב לשכת רווחה </w:t>
      </w:r>
      <w:r w:rsidR="005C2D68">
        <w:rPr>
          <w:rFonts w:hint="cs"/>
        </w:rPr>
        <w:t>X</w:t>
      </w:r>
      <w:r>
        <w:rPr>
          <w:rtl/>
        </w:rPr>
        <w:t>,</w:t>
      </w:r>
      <w:r>
        <w:rPr>
          <w:rFonts w:hint="cs"/>
          <w:rtl/>
        </w:rPr>
        <w:t xml:space="preserve"> </w:t>
      </w:r>
      <w:r>
        <w:rPr>
          <w:rtl/>
        </w:rPr>
        <w:t>לעו</w:t>
      </w:r>
      <w:r>
        <w:rPr>
          <w:rFonts w:hint="cs"/>
          <w:rtl/>
        </w:rPr>
        <w:t>"</w:t>
      </w:r>
      <w:r>
        <w:rPr>
          <w:rtl/>
        </w:rPr>
        <w:t>ס</w:t>
      </w:r>
      <w:r>
        <w:rPr>
          <w:rFonts w:hint="cs"/>
          <w:rtl/>
        </w:rPr>
        <w:t xml:space="preserve"> </w:t>
      </w:r>
      <w:r>
        <w:rPr>
          <w:rtl/>
        </w:rPr>
        <w:t xml:space="preserve">מלשכת רווחה </w:t>
      </w:r>
      <w:r w:rsidR="005C2D68">
        <w:rPr>
          <w:rFonts w:hint="cs"/>
        </w:rPr>
        <w:t>Y</w:t>
      </w:r>
      <w:r w:rsidR="003552F4">
        <w:rPr>
          <w:rFonts w:hint="cs"/>
          <w:rtl/>
        </w:rPr>
        <w:t xml:space="preserve">. בית המשפט התבקש </w:t>
      </w:r>
      <w:r>
        <w:rPr>
          <w:rtl/>
        </w:rPr>
        <w:t>להכריע בעצמו בענין סעד זה בהתבסס על ההמלצות של המומחה מטעם</w:t>
      </w:r>
      <w:r>
        <w:rPr>
          <w:rFonts w:hint="cs"/>
          <w:rtl/>
        </w:rPr>
        <w:t xml:space="preserve"> </w:t>
      </w:r>
      <w:r>
        <w:rPr>
          <w:rtl/>
        </w:rPr>
        <w:t>ביהמ"ש</w:t>
      </w:r>
      <w:r>
        <w:rPr>
          <w:rFonts w:hint="cs"/>
          <w:rtl/>
        </w:rPr>
        <w:t>.</w:t>
      </w:r>
    </w:p>
    <w:p w:rsidR="00CB66DA" w:rsidRDefault="00CB66DA" w:rsidP="003552F4">
      <w:pPr>
        <w:spacing w:after="120" w:line="360" w:lineRule="auto"/>
        <w:ind w:left="720" w:hanging="720"/>
        <w:jc w:val="both"/>
        <w:rPr>
          <w:rtl/>
        </w:rPr>
      </w:pPr>
      <w:r>
        <w:rPr>
          <w:rtl/>
        </w:rPr>
        <w:tab/>
        <w:t>לחילופין</w:t>
      </w:r>
      <w:r>
        <w:rPr>
          <w:rFonts w:hint="cs"/>
          <w:rtl/>
        </w:rPr>
        <w:t xml:space="preserve">, התבקש בית המשפט </w:t>
      </w:r>
      <w:r>
        <w:rPr>
          <w:rtl/>
        </w:rPr>
        <w:t>להבהיר את החלטתו מיום 7</w:t>
      </w:r>
      <w:r>
        <w:rPr>
          <w:rFonts w:hint="cs"/>
          <w:rtl/>
        </w:rPr>
        <w:t>.</w:t>
      </w:r>
      <w:r>
        <w:rPr>
          <w:rtl/>
        </w:rPr>
        <w:t>11</w:t>
      </w:r>
      <w:r>
        <w:rPr>
          <w:rFonts w:hint="cs"/>
          <w:rtl/>
        </w:rPr>
        <w:t>.</w:t>
      </w:r>
      <w:r>
        <w:rPr>
          <w:rtl/>
        </w:rPr>
        <w:t>24</w:t>
      </w:r>
      <w:r>
        <w:rPr>
          <w:rFonts w:hint="cs"/>
          <w:rtl/>
        </w:rPr>
        <w:t xml:space="preserve"> </w:t>
      </w:r>
      <w:r>
        <w:rPr>
          <w:rtl/>
        </w:rPr>
        <w:t>בענין אותן הנחיות</w:t>
      </w:r>
      <w:r>
        <w:rPr>
          <w:rFonts w:hint="cs"/>
          <w:rtl/>
        </w:rPr>
        <w:t>,</w:t>
      </w:r>
      <w:r>
        <w:rPr>
          <w:rtl/>
        </w:rPr>
        <w:t xml:space="preserve"> באופן שלא יתנגש עם כל</w:t>
      </w:r>
      <w:r>
        <w:rPr>
          <w:rFonts w:hint="cs"/>
          <w:rtl/>
        </w:rPr>
        <w:t xml:space="preserve"> </w:t>
      </w:r>
      <w:r>
        <w:rPr>
          <w:rtl/>
        </w:rPr>
        <w:t>החלטותיו שניתנו עד היום</w:t>
      </w:r>
      <w:r>
        <w:rPr>
          <w:rFonts w:hint="cs"/>
          <w:rtl/>
        </w:rPr>
        <w:t>.</w:t>
      </w:r>
      <w:r>
        <w:rPr>
          <w:rtl/>
        </w:rPr>
        <w:t xml:space="preserve"> לרבות החלטותיו בענין הסמכויות שהוענקו למומחה מטעם</w:t>
      </w:r>
      <w:r>
        <w:rPr>
          <w:rFonts w:hint="cs"/>
          <w:rtl/>
        </w:rPr>
        <w:t xml:space="preserve"> </w:t>
      </w:r>
      <w:r>
        <w:rPr>
          <w:rtl/>
        </w:rPr>
        <w:t>ביהמ"ש</w:t>
      </w:r>
      <w:r>
        <w:rPr>
          <w:rFonts w:hint="cs"/>
          <w:rtl/>
        </w:rPr>
        <w:t xml:space="preserve">, </w:t>
      </w:r>
      <w:r>
        <w:rPr>
          <w:rtl/>
        </w:rPr>
        <w:t>באופן ש</w:t>
      </w:r>
      <w:r>
        <w:rPr>
          <w:rFonts w:hint="cs"/>
          <w:rtl/>
        </w:rPr>
        <w:t>לא</w:t>
      </w:r>
      <w:r>
        <w:rPr>
          <w:rtl/>
        </w:rPr>
        <w:t xml:space="preserve"> משתמע לש</w:t>
      </w:r>
      <w:r w:rsidR="003552F4">
        <w:rPr>
          <w:rFonts w:hint="cs"/>
          <w:rtl/>
        </w:rPr>
        <w:t>נ</w:t>
      </w:r>
      <w:r>
        <w:rPr>
          <w:rtl/>
        </w:rPr>
        <w:t>י פנים</w:t>
      </w:r>
      <w:r>
        <w:rPr>
          <w:rFonts w:hint="cs"/>
          <w:rtl/>
        </w:rPr>
        <w:t>,</w:t>
      </w:r>
      <w:r>
        <w:rPr>
          <w:rtl/>
        </w:rPr>
        <w:t xml:space="preserve"> כי על לשכת הרווחה לפעול בהתאם להמלצות</w:t>
      </w:r>
      <w:r>
        <w:rPr>
          <w:rFonts w:hint="cs"/>
          <w:rtl/>
        </w:rPr>
        <w:t xml:space="preserve"> </w:t>
      </w:r>
      <w:r>
        <w:rPr>
          <w:rtl/>
        </w:rPr>
        <w:t>המומחה ולא בניגוד להן</w:t>
      </w:r>
      <w:r>
        <w:rPr>
          <w:rFonts w:hint="cs"/>
          <w:rtl/>
        </w:rPr>
        <w:t>.</w:t>
      </w:r>
    </w:p>
    <w:p w:rsidR="00CB66DA" w:rsidRDefault="00CB66DA" w:rsidP="005C2D68">
      <w:pPr>
        <w:spacing w:after="120" w:line="360" w:lineRule="auto"/>
        <w:ind w:left="720" w:hanging="720"/>
        <w:jc w:val="both"/>
        <w:rPr>
          <w:rtl/>
        </w:rPr>
      </w:pPr>
      <w:r>
        <w:rPr>
          <w:rtl/>
        </w:rPr>
        <w:tab/>
        <w:t>לחילופי חילופין</w:t>
      </w:r>
      <w:r>
        <w:rPr>
          <w:rFonts w:hint="cs"/>
          <w:rtl/>
        </w:rPr>
        <w:t xml:space="preserve">, התבקש בית משפט קמא </w:t>
      </w:r>
      <w:r>
        <w:rPr>
          <w:rtl/>
        </w:rPr>
        <w:t xml:space="preserve">לפסול את לשכת רווחה </w:t>
      </w:r>
      <w:r w:rsidR="005C2D68">
        <w:rPr>
          <w:rFonts w:hint="cs"/>
        </w:rPr>
        <w:t>Y</w:t>
      </w:r>
      <w:r>
        <w:rPr>
          <w:rtl/>
        </w:rPr>
        <w:t xml:space="preserve"> מהמשך הטיפול בתיק ועריכת תסקיר</w:t>
      </w:r>
      <w:r>
        <w:rPr>
          <w:rFonts w:hint="cs"/>
          <w:rtl/>
        </w:rPr>
        <w:t xml:space="preserve">, </w:t>
      </w:r>
      <w:r>
        <w:rPr>
          <w:rtl/>
        </w:rPr>
        <w:t>ולהטיל</w:t>
      </w:r>
      <w:r>
        <w:rPr>
          <w:rFonts w:hint="cs"/>
          <w:rtl/>
        </w:rPr>
        <w:t xml:space="preserve"> </w:t>
      </w:r>
      <w:r>
        <w:rPr>
          <w:rtl/>
        </w:rPr>
        <w:t xml:space="preserve">זאת על לשכת רווחה </w:t>
      </w:r>
      <w:r w:rsidR="005C2D68">
        <w:rPr>
          <w:rFonts w:hint="cs"/>
        </w:rPr>
        <w:t>X</w:t>
      </w:r>
      <w:r>
        <w:rPr>
          <w:rtl/>
        </w:rPr>
        <w:t xml:space="preserve"> בהתאם להמלצות המומחה מטעם ביהמ"ש.</w:t>
      </w:r>
    </w:p>
    <w:p w:rsidR="00CB66DA" w:rsidRDefault="00CB66DA" w:rsidP="00CB66DA">
      <w:pPr>
        <w:spacing w:after="120" w:line="360" w:lineRule="auto"/>
        <w:ind w:left="720" w:hanging="720"/>
        <w:jc w:val="both"/>
        <w:rPr>
          <w:rtl/>
        </w:rPr>
      </w:pPr>
      <w:r>
        <w:rPr>
          <w:rFonts w:hint="cs"/>
          <w:rtl/>
        </w:rPr>
        <w:t>22.</w:t>
      </w:r>
      <w:r>
        <w:rPr>
          <w:rFonts w:hint="cs"/>
          <w:rtl/>
        </w:rPr>
        <w:tab/>
      </w:r>
      <w:r w:rsidRPr="003552F4">
        <w:rPr>
          <w:rFonts w:hint="cs"/>
          <w:u w:val="single"/>
          <w:rtl/>
        </w:rPr>
        <w:t>בית משפט קמא נתן החלטתו ביום 14.11.24 כאמור, כדלקמן</w:t>
      </w:r>
      <w:r>
        <w:rPr>
          <w:rFonts w:hint="cs"/>
          <w:rtl/>
        </w:rPr>
        <w:t>: "</w:t>
      </w:r>
      <w:r w:rsidRPr="0010046F">
        <w:rPr>
          <w:b/>
          <w:bCs/>
          <w:rtl/>
        </w:rPr>
        <w:t>לאחר עיון בבקשה, נחה דעתי כי דינה להידחות.</w:t>
      </w:r>
      <w:r w:rsidRPr="0010046F">
        <w:rPr>
          <w:rFonts w:hint="cs"/>
          <w:b/>
          <w:bCs/>
          <w:rtl/>
        </w:rPr>
        <w:t xml:space="preserve"> </w:t>
      </w:r>
      <w:r w:rsidRPr="0010046F">
        <w:rPr>
          <w:b/>
          <w:bCs/>
          <w:rtl/>
        </w:rPr>
        <w:t>ואלו טעמיי.</w:t>
      </w:r>
      <w:r w:rsidRPr="0010046F">
        <w:rPr>
          <w:rFonts w:hint="cs"/>
          <w:b/>
          <w:bCs/>
          <w:rtl/>
        </w:rPr>
        <w:t xml:space="preserve"> </w:t>
      </w:r>
      <w:r w:rsidRPr="0010046F">
        <w:rPr>
          <w:b/>
          <w:bCs/>
          <w:rtl/>
        </w:rPr>
        <w:t>ראשית, לא מצאתי כי הבקשה לעיון חוזר מתבססת</w:t>
      </w:r>
      <w:r w:rsidRPr="0010046F">
        <w:rPr>
          <w:rFonts w:hint="cs"/>
          <w:b/>
          <w:bCs/>
          <w:rtl/>
        </w:rPr>
        <w:t xml:space="preserve"> </w:t>
      </w:r>
      <w:r w:rsidRPr="0010046F">
        <w:rPr>
          <w:b/>
          <w:bCs/>
          <w:rtl/>
        </w:rPr>
        <w:t>על נסיבות חדשות אשר התרחשו לאחר מתן</w:t>
      </w:r>
      <w:r w:rsidRPr="0010046F">
        <w:rPr>
          <w:rFonts w:hint="cs"/>
          <w:b/>
          <w:bCs/>
          <w:rtl/>
        </w:rPr>
        <w:t xml:space="preserve"> </w:t>
      </w:r>
      <w:r w:rsidRPr="0010046F">
        <w:rPr>
          <w:b/>
          <w:bCs/>
          <w:rtl/>
        </w:rPr>
        <w:t>החלטתי מיום 7.11.24 שיש בהן כדי להביא לשינוי</w:t>
      </w:r>
      <w:r w:rsidRPr="0010046F">
        <w:rPr>
          <w:rFonts w:hint="cs"/>
          <w:b/>
          <w:bCs/>
          <w:rtl/>
        </w:rPr>
        <w:t xml:space="preserve"> </w:t>
      </w:r>
      <w:r w:rsidRPr="0010046F">
        <w:rPr>
          <w:b/>
          <w:bCs/>
          <w:rtl/>
        </w:rPr>
        <w:t>החלטתי (ראו: רמ"ש</w:t>
      </w:r>
      <w:r w:rsidR="003552F4">
        <w:rPr>
          <w:rFonts w:hint="cs"/>
          <w:b/>
          <w:bCs/>
          <w:rtl/>
        </w:rPr>
        <w:t xml:space="preserve">         </w:t>
      </w:r>
      <w:r w:rsidRPr="0010046F">
        <w:rPr>
          <w:b/>
          <w:bCs/>
          <w:rtl/>
        </w:rPr>
        <w:t xml:space="preserve"> 37447-08-17 פלוני נ' פלונית</w:t>
      </w:r>
      <w:r w:rsidRPr="0010046F">
        <w:rPr>
          <w:rFonts w:hint="cs"/>
          <w:b/>
          <w:bCs/>
          <w:rtl/>
        </w:rPr>
        <w:t xml:space="preserve"> </w:t>
      </w:r>
      <w:r w:rsidRPr="0010046F">
        <w:rPr>
          <w:b/>
          <w:bCs/>
          <w:rtl/>
        </w:rPr>
        <w:t>[פורסם בנבו] 14.9.17</w:t>
      </w:r>
      <w:r>
        <w:rPr>
          <w:rFonts w:hint="cs"/>
          <w:b/>
          <w:bCs/>
          <w:rtl/>
        </w:rPr>
        <w:t>)</w:t>
      </w:r>
      <w:r w:rsidRPr="0010046F">
        <w:rPr>
          <w:rFonts w:hint="cs"/>
          <w:b/>
          <w:bCs/>
          <w:rtl/>
        </w:rPr>
        <w:t xml:space="preserve">. </w:t>
      </w:r>
      <w:r w:rsidRPr="0010046F">
        <w:rPr>
          <w:b/>
          <w:bCs/>
          <w:rtl/>
        </w:rPr>
        <w:t>שנית, אציין כי החלטתי המנומקת מיום 7.11.24</w:t>
      </w:r>
      <w:r w:rsidRPr="0010046F">
        <w:rPr>
          <w:rFonts w:hint="cs"/>
          <w:b/>
          <w:bCs/>
          <w:rtl/>
        </w:rPr>
        <w:t xml:space="preserve"> </w:t>
      </w:r>
      <w:r w:rsidRPr="0010046F">
        <w:rPr>
          <w:b/>
          <w:bCs/>
          <w:rtl/>
        </w:rPr>
        <w:t>(במסגרתה הפניתי להחלטות קודמות שניתנו בתיק)</w:t>
      </w:r>
      <w:r w:rsidRPr="0010046F">
        <w:rPr>
          <w:rFonts w:hint="cs"/>
          <w:b/>
          <w:bCs/>
          <w:rtl/>
        </w:rPr>
        <w:t xml:space="preserve"> </w:t>
      </w:r>
      <w:r w:rsidRPr="0010046F">
        <w:rPr>
          <w:b/>
          <w:bCs/>
          <w:rtl/>
        </w:rPr>
        <w:t>ניתנה לאחר שבחנתי את טענות הצדדים והחומר</w:t>
      </w:r>
      <w:r w:rsidRPr="0010046F">
        <w:rPr>
          <w:rFonts w:hint="cs"/>
          <w:b/>
          <w:bCs/>
          <w:rtl/>
        </w:rPr>
        <w:t xml:space="preserve"> </w:t>
      </w:r>
      <w:r w:rsidRPr="0010046F">
        <w:rPr>
          <w:b/>
          <w:bCs/>
          <w:rtl/>
        </w:rPr>
        <w:t>שבתיק, ושקלתי את מכלול השיקולים הנדרשים</w:t>
      </w:r>
      <w:r w:rsidRPr="0010046F">
        <w:rPr>
          <w:rFonts w:hint="cs"/>
          <w:b/>
          <w:bCs/>
          <w:rtl/>
        </w:rPr>
        <w:t xml:space="preserve"> </w:t>
      </w:r>
      <w:r w:rsidRPr="0010046F">
        <w:rPr>
          <w:b/>
          <w:bCs/>
          <w:rtl/>
        </w:rPr>
        <w:t>בטרם מתן החלטתי האמורה.</w:t>
      </w:r>
      <w:r w:rsidRPr="0010046F">
        <w:rPr>
          <w:rFonts w:hint="cs"/>
          <w:b/>
          <w:bCs/>
          <w:rtl/>
        </w:rPr>
        <w:t xml:space="preserve"> </w:t>
      </w:r>
      <w:r w:rsidRPr="0010046F">
        <w:rPr>
          <w:b/>
          <w:bCs/>
          <w:rtl/>
        </w:rPr>
        <w:t>הבקשה, איפוא, נדחית.</w:t>
      </w:r>
      <w:r w:rsidRPr="0010046F">
        <w:rPr>
          <w:rFonts w:hint="cs"/>
          <w:b/>
          <w:bCs/>
          <w:rtl/>
        </w:rPr>
        <w:t xml:space="preserve"> </w:t>
      </w:r>
      <w:r w:rsidRPr="0010046F">
        <w:rPr>
          <w:b/>
          <w:bCs/>
          <w:rtl/>
        </w:rPr>
        <w:t>הצדדים יפעלו על פי החלטתי מיום 7.11.24 ככתבה</w:t>
      </w:r>
      <w:r w:rsidRPr="0010046F">
        <w:rPr>
          <w:rFonts w:hint="cs"/>
          <w:b/>
          <w:bCs/>
          <w:rtl/>
        </w:rPr>
        <w:t xml:space="preserve"> </w:t>
      </w:r>
      <w:r w:rsidRPr="0010046F">
        <w:rPr>
          <w:b/>
          <w:bCs/>
          <w:rtl/>
        </w:rPr>
        <w:t>וכלשונה</w:t>
      </w:r>
      <w:r>
        <w:rPr>
          <w:rFonts w:hint="cs"/>
          <w:rtl/>
        </w:rPr>
        <w:t>"</w:t>
      </w:r>
      <w:r>
        <w:rPr>
          <w:rtl/>
        </w:rPr>
        <w:t>.</w:t>
      </w:r>
    </w:p>
    <w:p w:rsidR="00CB66DA" w:rsidRDefault="00CB66DA" w:rsidP="00CB66DA">
      <w:pPr>
        <w:spacing w:after="120" w:line="360" w:lineRule="auto"/>
        <w:ind w:left="720" w:hanging="720"/>
        <w:jc w:val="both"/>
        <w:rPr>
          <w:rtl/>
        </w:rPr>
      </w:pPr>
      <w:r>
        <w:rPr>
          <w:rtl/>
        </w:rPr>
        <w:tab/>
      </w:r>
      <w:r w:rsidRPr="00CF20F1">
        <w:rPr>
          <w:rtl/>
        </w:rPr>
        <w:t xml:space="preserve">בקשת רשות הערעור דנן הוגשה </w:t>
      </w:r>
      <w:r>
        <w:rPr>
          <w:rFonts w:hint="cs"/>
          <w:rtl/>
        </w:rPr>
        <w:t xml:space="preserve">אף </w:t>
      </w:r>
      <w:r w:rsidRPr="00CF20F1">
        <w:rPr>
          <w:rtl/>
        </w:rPr>
        <w:t>בגין החלטה זו</w:t>
      </w:r>
      <w:r>
        <w:rPr>
          <w:rFonts w:hint="cs"/>
          <w:rtl/>
        </w:rPr>
        <w:t>.</w:t>
      </w:r>
    </w:p>
    <w:p w:rsidR="00037114" w:rsidRDefault="00037114" w:rsidP="00CB66DA">
      <w:pPr>
        <w:spacing w:after="120" w:line="360" w:lineRule="auto"/>
        <w:ind w:left="720" w:hanging="720"/>
        <w:jc w:val="both"/>
        <w:rPr>
          <w:rtl/>
        </w:rPr>
      </w:pPr>
    </w:p>
    <w:p w:rsidR="00CB66DA" w:rsidRPr="0010046F" w:rsidRDefault="00CB66DA" w:rsidP="00CB66DA">
      <w:pPr>
        <w:spacing w:after="120" w:line="360" w:lineRule="auto"/>
        <w:ind w:left="720" w:hanging="720"/>
        <w:jc w:val="both"/>
        <w:rPr>
          <w:b/>
          <w:bCs/>
          <w:u w:val="single"/>
          <w:rtl/>
        </w:rPr>
      </w:pPr>
      <w:r w:rsidRPr="0010046F">
        <w:rPr>
          <w:rFonts w:hint="cs"/>
          <w:b/>
          <w:bCs/>
          <w:u w:val="single"/>
          <w:rtl/>
        </w:rPr>
        <w:t>החלטה מיום 18.11.24</w:t>
      </w:r>
    </w:p>
    <w:p w:rsidR="00CB66DA" w:rsidRDefault="00CB66DA" w:rsidP="00CB66DA">
      <w:pPr>
        <w:spacing w:after="120" w:line="360" w:lineRule="auto"/>
        <w:ind w:left="720" w:hanging="720"/>
        <w:jc w:val="both"/>
        <w:rPr>
          <w:rtl/>
        </w:rPr>
      </w:pPr>
      <w:r>
        <w:rPr>
          <w:rFonts w:hint="cs"/>
          <w:rtl/>
        </w:rPr>
        <w:t>23.</w:t>
      </w:r>
      <w:r>
        <w:rPr>
          <w:rFonts w:hint="cs"/>
          <w:rtl/>
        </w:rPr>
        <w:tab/>
        <w:t xml:space="preserve">ביום 17.11.24 הגיש המבקש "בקשה למתן החלטה בבקשת המבקש למתן הבהרה". בקשת ההבהרה היא ביחס להחלטה מיום 7.11.24, במסגרתה </w:t>
      </w:r>
      <w:r w:rsidR="005C2D68">
        <w:rPr>
          <w:rFonts w:hint="cs"/>
          <w:rtl/>
        </w:rPr>
        <w:t>הורה בית המשפט ללשכת הרווחה ב-</w:t>
      </w:r>
      <w:r w:rsidR="005C2D68">
        <w:rPr>
          <w:rFonts w:hint="cs"/>
        </w:rPr>
        <w:t>Y</w:t>
      </w:r>
      <w:r>
        <w:rPr>
          <w:rFonts w:hint="cs"/>
          <w:rtl/>
        </w:rPr>
        <w:t>, לערוך תסקיר לקטינה ולצדדים (ראו סעיף 18 לעיל). לטענת המבקש, ההבהרה נדרשת מקום שעובדי הרווחה הבהירו למבקש, כי בכוונתם לערוך התסקיר במנותק מהמלצות המומחה, וייתכן שאף בניגוד אליהן.</w:t>
      </w:r>
    </w:p>
    <w:p w:rsidR="00CB66DA" w:rsidRDefault="00CB66DA" w:rsidP="00CB66DA">
      <w:pPr>
        <w:spacing w:after="120" w:line="360" w:lineRule="auto"/>
        <w:ind w:left="720" w:hanging="720"/>
        <w:jc w:val="both"/>
        <w:rPr>
          <w:rtl/>
        </w:rPr>
      </w:pPr>
      <w:r>
        <w:rPr>
          <w:rFonts w:hint="cs"/>
          <w:rtl/>
        </w:rPr>
        <w:lastRenderedPageBreak/>
        <w:t>24.</w:t>
      </w:r>
      <w:r>
        <w:rPr>
          <w:rFonts w:hint="cs"/>
          <w:rtl/>
        </w:rPr>
        <w:tab/>
        <w:t xml:space="preserve">בית משפט קמא נתן החלטתו בבקשה הנ"ל, לפיה </w:t>
      </w:r>
      <w:r>
        <w:rPr>
          <w:rtl/>
        </w:rPr>
        <w:t>בהחלט</w:t>
      </w:r>
      <w:r>
        <w:rPr>
          <w:rFonts w:hint="cs"/>
          <w:rtl/>
        </w:rPr>
        <w:t>ה</w:t>
      </w:r>
      <w:r>
        <w:rPr>
          <w:rtl/>
        </w:rPr>
        <w:t xml:space="preserve"> מיום 14.11.24 בקשת</w:t>
      </w:r>
      <w:r>
        <w:rPr>
          <w:rFonts w:hint="cs"/>
          <w:rtl/>
        </w:rPr>
        <w:t xml:space="preserve"> </w:t>
      </w:r>
      <w:r>
        <w:rPr>
          <w:rtl/>
        </w:rPr>
        <w:t>המבקש נדחתה, על כל חלקיה</w:t>
      </w:r>
      <w:r>
        <w:rPr>
          <w:rFonts w:hint="cs"/>
          <w:rtl/>
        </w:rPr>
        <w:t>; וכי ההחלטה</w:t>
      </w:r>
      <w:r>
        <w:rPr>
          <w:rtl/>
        </w:rPr>
        <w:t xml:space="preserve"> מיום 7.11.14 ברורה ואינה</w:t>
      </w:r>
      <w:r>
        <w:rPr>
          <w:rFonts w:hint="cs"/>
          <w:rtl/>
        </w:rPr>
        <w:t xml:space="preserve"> </w:t>
      </w:r>
      <w:r>
        <w:rPr>
          <w:rtl/>
        </w:rPr>
        <w:t>מצריכה כל הבהרה.</w:t>
      </w:r>
    </w:p>
    <w:p w:rsidR="00CB66DA" w:rsidRDefault="00CB66DA" w:rsidP="00CB66DA">
      <w:pPr>
        <w:spacing w:after="120" w:line="360" w:lineRule="auto"/>
        <w:ind w:left="720" w:hanging="720"/>
        <w:jc w:val="both"/>
        <w:rPr>
          <w:rtl/>
        </w:rPr>
      </w:pPr>
      <w:r>
        <w:rPr>
          <w:rtl/>
        </w:rPr>
        <w:tab/>
      </w:r>
      <w:r w:rsidRPr="00CF20F1">
        <w:rPr>
          <w:rtl/>
        </w:rPr>
        <w:t xml:space="preserve">בקשת רשות הערעור דנן הוגשה </w:t>
      </w:r>
      <w:r>
        <w:rPr>
          <w:rFonts w:hint="cs"/>
          <w:rtl/>
        </w:rPr>
        <w:t xml:space="preserve">אף </w:t>
      </w:r>
      <w:r w:rsidRPr="00CF20F1">
        <w:rPr>
          <w:rtl/>
        </w:rPr>
        <w:t>בגין החלטה זו</w:t>
      </w:r>
      <w:r>
        <w:rPr>
          <w:rFonts w:hint="cs"/>
          <w:rtl/>
        </w:rPr>
        <w:t>.</w:t>
      </w:r>
    </w:p>
    <w:p w:rsidR="00037114" w:rsidRDefault="00037114" w:rsidP="00CB66DA">
      <w:pPr>
        <w:spacing w:after="120" w:line="360" w:lineRule="auto"/>
        <w:ind w:left="720" w:hanging="720"/>
        <w:jc w:val="both"/>
        <w:rPr>
          <w:rtl/>
        </w:rPr>
      </w:pPr>
    </w:p>
    <w:p w:rsidR="00CB66DA" w:rsidRPr="0017117A" w:rsidRDefault="00CB66DA" w:rsidP="00CB66DA">
      <w:pPr>
        <w:spacing w:after="120" w:line="360" w:lineRule="auto"/>
        <w:ind w:left="720" w:hanging="720"/>
        <w:jc w:val="both"/>
        <w:rPr>
          <w:b/>
          <w:bCs/>
          <w:u w:val="single"/>
          <w:rtl/>
        </w:rPr>
      </w:pPr>
      <w:r w:rsidRPr="0017117A">
        <w:rPr>
          <w:rFonts w:hint="cs"/>
          <w:b/>
          <w:bCs/>
          <w:u w:val="single"/>
          <w:rtl/>
        </w:rPr>
        <w:t>החלטה מיום 27.11.24</w:t>
      </w:r>
    </w:p>
    <w:p w:rsidR="00CB66DA" w:rsidRDefault="00CB66DA" w:rsidP="005C2D68">
      <w:pPr>
        <w:spacing w:after="120" w:line="360" w:lineRule="auto"/>
        <w:ind w:left="720" w:hanging="720"/>
        <w:jc w:val="both"/>
        <w:rPr>
          <w:rtl/>
        </w:rPr>
      </w:pPr>
      <w:r>
        <w:rPr>
          <w:rFonts w:hint="cs"/>
          <w:rtl/>
        </w:rPr>
        <w:t>25.</w:t>
      </w:r>
      <w:r>
        <w:rPr>
          <w:rFonts w:hint="cs"/>
          <w:rtl/>
        </w:rPr>
        <w:tab/>
        <w:t xml:space="preserve">בפניית לשכת הרווחה </w:t>
      </w:r>
      <w:r w:rsidR="005C2D68">
        <w:rPr>
          <w:rFonts w:hint="cs"/>
        </w:rPr>
        <w:t>Y</w:t>
      </w:r>
      <w:r>
        <w:rPr>
          <w:rFonts w:hint="cs"/>
          <w:rtl/>
        </w:rPr>
        <w:t xml:space="preserve"> מיום 27.11.24, הודגש אי שיתוף הפעולה מצד המבקש, שעה שהוזמן למפגש עם העו"ס, אך במקום לעסוק בדברים מהותיים, חזר המבקש וטען כי על העו"ס ליתן המלצותיה בהתבסס על דברי המומחה בלבד. המבקש אף פנה לבית המשפט בבקשה חוזרת זו ביום 20.11.24, והיא עודנה תלויה ועומדת.</w:t>
      </w:r>
    </w:p>
    <w:p w:rsidR="00CB66DA" w:rsidRDefault="00CB66DA" w:rsidP="00CB66DA">
      <w:pPr>
        <w:spacing w:after="120" w:line="360" w:lineRule="auto"/>
        <w:ind w:left="720" w:hanging="720"/>
        <w:jc w:val="both"/>
        <w:rPr>
          <w:rtl/>
        </w:rPr>
      </w:pPr>
      <w:r>
        <w:rPr>
          <w:rtl/>
        </w:rPr>
        <w:tab/>
      </w:r>
      <w:r>
        <w:rPr>
          <w:rFonts w:hint="cs"/>
          <w:rtl/>
        </w:rPr>
        <w:t>במסגרת הפנייה לבית המש</w:t>
      </w:r>
      <w:r w:rsidR="003552F4">
        <w:rPr>
          <w:rFonts w:hint="cs"/>
          <w:rtl/>
        </w:rPr>
        <w:t xml:space="preserve">פט, הודגשה חשיבות שיתוף הפעולה </w:t>
      </w:r>
      <w:r>
        <w:rPr>
          <w:rFonts w:hint="cs"/>
          <w:rtl/>
        </w:rPr>
        <w:t>בהתאם להוראות בית המשפט</w:t>
      </w:r>
      <w:r w:rsidR="003552F4">
        <w:rPr>
          <w:rFonts w:hint="cs"/>
          <w:rtl/>
        </w:rPr>
        <w:t>,</w:t>
      </w:r>
      <w:r>
        <w:rPr>
          <w:rFonts w:hint="cs"/>
          <w:rtl/>
        </w:rPr>
        <w:t xml:space="preserve"> והוצעו מועדים נוספים למפגש עם המבקש.</w:t>
      </w:r>
    </w:p>
    <w:p w:rsidR="00CB66DA" w:rsidRDefault="00CB66DA" w:rsidP="00CB66DA">
      <w:pPr>
        <w:spacing w:after="120" w:line="360" w:lineRule="auto"/>
        <w:ind w:left="720" w:hanging="720"/>
        <w:jc w:val="both"/>
        <w:rPr>
          <w:rtl/>
        </w:rPr>
      </w:pPr>
      <w:r>
        <w:rPr>
          <w:rFonts w:hint="cs"/>
          <w:rtl/>
        </w:rPr>
        <w:t>26.</w:t>
      </w:r>
      <w:r>
        <w:rPr>
          <w:rFonts w:hint="cs"/>
          <w:rtl/>
        </w:rPr>
        <w:tab/>
        <w:t xml:space="preserve">בית משפט קמא נתן החלטתו בעניין: </w:t>
      </w:r>
    </w:p>
    <w:p w:rsidR="00CB66DA" w:rsidRPr="00790DC6" w:rsidRDefault="00CB66DA" w:rsidP="00CB66DA">
      <w:pPr>
        <w:spacing w:after="120" w:line="360" w:lineRule="auto"/>
        <w:ind w:left="720" w:hanging="720"/>
        <w:jc w:val="both"/>
        <w:rPr>
          <w:b/>
          <w:bCs/>
          <w:rtl/>
        </w:rPr>
      </w:pPr>
      <w:r>
        <w:rPr>
          <w:rtl/>
        </w:rPr>
        <w:tab/>
      </w:r>
      <w:r>
        <w:rPr>
          <w:rFonts w:hint="cs"/>
          <w:rtl/>
        </w:rPr>
        <w:t>"</w:t>
      </w:r>
      <w:r w:rsidRPr="00790DC6">
        <w:rPr>
          <w:rFonts w:hint="cs"/>
          <w:b/>
          <w:bCs/>
          <w:rtl/>
        </w:rPr>
        <w:t>1</w:t>
      </w:r>
      <w:r w:rsidRPr="00790DC6">
        <w:rPr>
          <w:b/>
          <w:bCs/>
          <w:rtl/>
        </w:rPr>
        <w:t>. עיינתי בתגובת עו"ס.</w:t>
      </w:r>
      <w:r w:rsidRPr="00790DC6">
        <w:rPr>
          <w:rFonts w:hint="cs"/>
          <w:b/>
          <w:bCs/>
          <w:rtl/>
        </w:rPr>
        <w:t xml:space="preserve"> </w:t>
      </w:r>
      <w:r w:rsidRPr="00790DC6">
        <w:rPr>
          <w:b/>
          <w:bCs/>
          <w:rtl/>
        </w:rPr>
        <w:t>החלטה בבקשת האב תינתן לאחר שיוגשו</w:t>
      </w:r>
      <w:r w:rsidRPr="00790DC6">
        <w:rPr>
          <w:rFonts w:hint="cs"/>
          <w:b/>
          <w:bCs/>
          <w:rtl/>
        </w:rPr>
        <w:t xml:space="preserve"> </w:t>
      </w:r>
      <w:r w:rsidRPr="00790DC6">
        <w:rPr>
          <w:b/>
          <w:bCs/>
          <w:rtl/>
        </w:rPr>
        <w:t>תגובות האם והאפוט' לדין, כמתחייב</w:t>
      </w:r>
      <w:r w:rsidRPr="00790DC6">
        <w:rPr>
          <w:rFonts w:hint="cs"/>
          <w:b/>
          <w:bCs/>
          <w:rtl/>
        </w:rPr>
        <w:t xml:space="preserve"> </w:t>
      </w:r>
      <w:r w:rsidRPr="00790DC6">
        <w:rPr>
          <w:b/>
          <w:bCs/>
          <w:rtl/>
        </w:rPr>
        <w:t>מהחלטתי מיום 25.11.24</w:t>
      </w:r>
      <w:r w:rsidRPr="00790DC6">
        <w:rPr>
          <w:rFonts w:hint="cs"/>
          <w:b/>
          <w:bCs/>
          <w:rtl/>
        </w:rPr>
        <w:t>.</w:t>
      </w:r>
    </w:p>
    <w:p w:rsidR="00CB66DA" w:rsidRPr="00790DC6" w:rsidRDefault="00CB66DA" w:rsidP="00CB66DA">
      <w:pPr>
        <w:spacing w:after="120" w:line="360" w:lineRule="auto"/>
        <w:ind w:left="720" w:hanging="720"/>
        <w:jc w:val="both"/>
        <w:rPr>
          <w:b/>
          <w:bCs/>
          <w:rtl/>
        </w:rPr>
      </w:pPr>
      <w:r w:rsidRPr="00790DC6">
        <w:rPr>
          <w:b/>
          <w:bCs/>
          <w:rtl/>
        </w:rPr>
        <w:tab/>
        <w:t>2. האב יודיע לעו"ס לאלתר מהו המועד</w:t>
      </w:r>
      <w:r w:rsidRPr="00790DC6">
        <w:rPr>
          <w:rFonts w:hint="cs"/>
          <w:b/>
          <w:bCs/>
          <w:rtl/>
        </w:rPr>
        <w:t xml:space="preserve"> </w:t>
      </w:r>
      <w:r w:rsidRPr="00790DC6">
        <w:rPr>
          <w:b/>
          <w:bCs/>
          <w:rtl/>
        </w:rPr>
        <w:t>המתאים לו מבין המועדים המפורטים</w:t>
      </w:r>
      <w:r w:rsidRPr="00790DC6">
        <w:rPr>
          <w:rFonts w:hint="cs"/>
          <w:b/>
          <w:bCs/>
          <w:rtl/>
        </w:rPr>
        <w:t xml:space="preserve"> </w:t>
      </w:r>
      <w:r w:rsidRPr="00790DC6">
        <w:rPr>
          <w:b/>
          <w:bCs/>
          <w:rtl/>
        </w:rPr>
        <w:t>בעדכון המצ"ב, ויגיע למפגש במועד זה.</w:t>
      </w:r>
      <w:r w:rsidRPr="00790DC6">
        <w:rPr>
          <w:rFonts w:hint="cs"/>
          <w:b/>
          <w:bCs/>
          <w:rtl/>
        </w:rPr>
        <w:t xml:space="preserve"> </w:t>
      </w:r>
      <w:r w:rsidRPr="00790DC6">
        <w:rPr>
          <w:b/>
          <w:bCs/>
          <w:rtl/>
        </w:rPr>
        <w:t>האב ישתף פעולה עם עו"ס על מנת</w:t>
      </w:r>
      <w:r w:rsidRPr="00790DC6">
        <w:rPr>
          <w:rFonts w:hint="cs"/>
          <w:b/>
          <w:bCs/>
          <w:rtl/>
        </w:rPr>
        <w:t xml:space="preserve"> </w:t>
      </w:r>
      <w:r w:rsidRPr="00790DC6">
        <w:rPr>
          <w:b/>
          <w:bCs/>
          <w:rtl/>
        </w:rPr>
        <w:t>שתסקיר עו"ס יוגש לבית המשפט במועד</w:t>
      </w:r>
      <w:r w:rsidRPr="00790DC6">
        <w:rPr>
          <w:rFonts w:hint="cs"/>
          <w:b/>
          <w:bCs/>
          <w:rtl/>
        </w:rPr>
        <w:t xml:space="preserve"> </w:t>
      </w:r>
      <w:r w:rsidRPr="00790DC6">
        <w:rPr>
          <w:b/>
          <w:bCs/>
          <w:rtl/>
        </w:rPr>
        <w:t>כמתחייב מהחלטתי מיום 3.11.24</w:t>
      </w:r>
      <w:r w:rsidRPr="00790DC6">
        <w:rPr>
          <w:rFonts w:hint="cs"/>
          <w:b/>
          <w:bCs/>
          <w:rtl/>
        </w:rPr>
        <w:t>.</w:t>
      </w:r>
    </w:p>
    <w:p w:rsidR="00CB66DA" w:rsidRDefault="00CB66DA" w:rsidP="00CB66DA">
      <w:pPr>
        <w:spacing w:after="120" w:line="360" w:lineRule="auto"/>
        <w:ind w:left="720" w:hanging="720"/>
        <w:jc w:val="both"/>
        <w:rPr>
          <w:rtl/>
        </w:rPr>
      </w:pPr>
      <w:r w:rsidRPr="00790DC6">
        <w:rPr>
          <w:b/>
          <w:bCs/>
          <w:rtl/>
        </w:rPr>
        <w:tab/>
      </w:r>
      <w:r w:rsidRPr="00790DC6">
        <w:rPr>
          <w:rFonts w:hint="cs"/>
          <w:b/>
          <w:bCs/>
          <w:rtl/>
        </w:rPr>
        <w:t>...</w:t>
      </w:r>
      <w:r>
        <w:rPr>
          <w:rFonts w:hint="cs"/>
          <w:rtl/>
        </w:rPr>
        <w:t>"</w:t>
      </w:r>
    </w:p>
    <w:p w:rsidR="00CB66DA" w:rsidRDefault="00CB66DA" w:rsidP="00CB66DA">
      <w:pPr>
        <w:spacing w:after="120" w:line="360" w:lineRule="auto"/>
        <w:ind w:left="720" w:hanging="720"/>
        <w:jc w:val="both"/>
        <w:rPr>
          <w:rtl/>
        </w:rPr>
      </w:pPr>
      <w:r>
        <w:rPr>
          <w:b/>
          <w:bCs/>
          <w:rtl/>
        </w:rPr>
        <w:tab/>
      </w:r>
      <w:r w:rsidRPr="00CF20F1">
        <w:rPr>
          <w:rtl/>
        </w:rPr>
        <w:t xml:space="preserve">בקשת רשות הערעור דנן הוגשה </w:t>
      </w:r>
      <w:r>
        <w:rPr>
          <w:rFonts w:hint="cs"/>
          <w:rtl/>
        </w:rPr>
        <w:t xml:space="preserve">אף </w:t>
      </w:r>
      <w:r w:rsidRPr="00CF20F1">
        <w:rPr>
          <w:rtl/>
        </w:rPr>
        <w:t>בגין החלטה זו</w:t>
      </w:r>
      <w:r>
        <w:rPr>
          <w:rFonts w:hint="cs"/>
          <w:rtl/>
        </w:rPr>
        <w:t>.</w:t>
      </w:r>
    </w:p>
    <w:p w:rsidR="00CB66DA" w:rsidRPr="00DA24A7" w:rsidRDefault="00CB66DA" w:rsidP="00CB66DA">
      <w:pPr>
        <w:spacing w:after="120" w:line="360" w:lineRule="auto"/>
        <w:ind w:left="720" w:hanging="720"/>
        <w:jc w:val="both"/>
        <w:rPr>
          <w:rtl/>
        </w:rPr>
      </w:pPr>
    </w:p>
    <w:p w:rsidR="00CB66DA" w:rsidRDefault="00CB66DA" w:rsidP="00CB66DA">
      <w:pPr>
        <w:spacing w:after="120" w:line="360" w:lineRule="auto"/>
        <w:ind w:right="1134"/>
        <w:jc w:val="both"/>
        <w:rPr>
          <w:b/>
          <w:bCs/>
          <w:u w:val="single"/>
          <w:rtl/>
        </w:rPr>
      </w:pPr>
      <w:r>
        <w:rPr>
          <w:b/>
          <w:bCs/>
          <w:u w:val="single"/>
          <w:rtl/>
        </w:rPr>
        <w:t>תמצית טענות המבקש בבקשת רשות הערעור</w:t>
      </w:r>
    </w:p>
    <w:p w:rsidR="00CB66DA" w:rsidRDefault="00CB66DA" w:rsidP="005C2D68">
      <w:pPr>
        <w:spacing w:after="120" w:line="360" w:lineRule="auto"/>
        <w:ind w:right="1134"/>
        <w:jc w:val="both"/>
        <w:rPr>
          <w:rtl/>
        </w:rPr>
      </w:pPr>
      <w:r>
        <w:rPr>
          <w:rFonts w:hint="cs"/>
          <w:rtl/>
        </w:rPr>
        <w:t>27</w:t>
      </w:r>
      <w:r>
        <w:rPr>
          <w:rtl/>
        </w:rPr>
        <w:t>.</w:t>
      </w:r>
      <w:r>
        <w:rPr>
          <w:rtl/>
        </w:rPr>
        <w:tab/>
      </w:r>
      <w:r>
        <w:rPr>
          <w:u w:val="single"/>
          <w:rtl/>
        </w:rPr>
        <w:t>המבק</w:t>
      </w:r>
      <w:r>
        <w:rPr>
          <w:rFonts w:hint="cs"/>
          <w:u w:val="single"/>
          <w:rtl/>
        </w:rPr>
        <w:t>ש טען בבקשתו כדלקמן</w:t>
      </w:r>
      <w:r>
        <w:rPr>
          <w:rtl/>
        </w:rPr>
        <w:t>:</w:t>
      </w:r>
    </w:p>
    <w:p w:rsidR="00CB66DA" w:rsidRDefault="00CB66DA" w:rsidP="00CB66DA">
      <w:pPr>
        <w:spacing w:after="120" w:line="360" w:lineRule="auto"/>
        <w:ind w:left="1440" w:hanging="720"/>
        <w:jc w:val="both"/>
        <w:rPr>
          <w:rtl/>
        </w:rPr>
      </w:pPr>
      <w:r>
        <w:rPr>
          <w:rtl/>
        </w:rPr>
        <w:t>א.</w:t>
      </w:r>
      <w:r>
        <w:rPr>
          <w:rtl/>
        </w:rPr>
        <w:tab/>
      </w:r>
      <w:r w:rsidRPr="003552F4">
        <w:rPr>
          <w:rFonts w:hint="cs"/>
          <w:u w:val="single"/>
          <w:rtl/>
        </w:rPr>
        <w:t>בעניין ההקלטות</w:t>
      </w:r>
      <w:r>
        <w:rPr>
          <w:rFonts w:hint="cs"/>
          <w:rtl/>
        </w:rPr>
        <w:t xml:space="preserve"> </w:t>
      </w:r>
      <w:r>
        <w:rPr>
          <w:rtl/>
        </w:rPr>
        <w:t>–</w:t>
      </w:r>
      <w:r>
        <w:rPr>
          <w:rFonts w:hint="cs"/>
          <w:rtl/>
        </w:rPr>
        <w:t xml:space="preserve"> טעה בית משפט קמא בפרשנותו </w:t>
      </w:r>
      <w:r w:rsidR="003552F4">
        <w:rPr>
          <w:rFonts w:hint="cs"/>
          <w:rtl/>
        </w:rPr>
        <w:t>ב</w:t>
      </w:r>
      <w:r w:rsidRPr="003552F4">
        <w:rPr>
          <w:rFonts w:hint="cs"/>
          <w:b/>
          <w:bCs/>
          <w:rtl/>
        </w:rPr>
        <w:t>עניין גליצנשטיין</w:t>
      </w:r>
      <w:r>
        <w:rPr>
          <w:rFonts w:hint="cs"/>
          <w:rtl/>
        </w:rPr>
        <w:t xml:space="preserve">, תוך שהתעלם ממעמד ההקלטות כראייה, ואיזון בין הזכות לפרטיות לבין האינטרס הציבורי. המבקש ביקש להקליט את המפגשים, במטרה לחשוף את האמת ולמען טובת הקטינה, בתום לב ואופן ענייני. ההחלטה קמא פוגעת באופן מהותי בזכויותיו הדיוניות ובטובת הקטינה. </w:t>
      </w:r>
    </w:p>
    <w:p w:rsidR="00CB66DA" w:rsidRDefault="00CB66DA" w:rsidP="00CB66DA">
      <w:pPr>
        <w:spacing w:after="120" w:line="360" w:lineRule="auto"/>
        <w:ind w:left="1440" w:hanging="720"/>
        <w:jc w:val="both"/>
        <w:rPr>
          <w:rtl/>
        </w:rPr>
      </w:pPr>
      <w:r>
        <w:rPr>
          <w:rFonts w:hint="cs"/>
          <w:rtl/>
        </w:rPr>
        <w:t>ב.</w:t>
      </w:r>
      <w:r>
        <w:rPr>
          <w:rFonts w:hint="cs"/>
          <w:rtl/>
        </w:rPr>
        <w:tab/>
      </w:r>
      <w:r w:rsidRPr="003552F4">
        <w:rPr>
          <w:rFonts w:hint="cs"/>
          <w:u w:val="single"/>
          <w:rtl/>
        </w:rPr>
        <w:t>בעניין פסילת האפוט' לדין</w:t>
      </w:r>
      <w:r>
        <w:rPr>
          <w:rFonts w:hint="cs"/>
          <w:rtl/>
        </w:rPr>
        <w:t xml:space="preserve"> </w:t>
      </w:r>
      <w:r>
        <w:rPr>
          <w:rtl/>
        </w:rPr>
        <w:t>–</w:t>
      </w:r>
      <w:r>
        <w:rPr>
          <w:rFonts w:hint="cs"/>
          <w:rtl/>
        </w:rPr>
        <w:t xml:space="preserve"> המבקש הצביע על ליקויים מהותיים לכאורה בעבודת האפוט' לדין, אשר פוגעים בניהול התקין של ההליך המשפטי, כפי שפירט בבקשתו קמא (ראו סעיף 14 לעיל).</w:t>
      </w:r>
    </w:p>
    <w:p w:rsidR="005C2D68" w:rsidRDefault="005C2D68" w:rsidP="00CB66DA">
      <w:pPr>
        <w:spacing w:after="120" w:line="360" w:lineRule="auto"/>
        <w:ind w:left="1440" w:hanging="720"/>
        <w:jc w:val="both"/>
        <w:rPr>
          <w:u w:val="single"/>
          <w:rtl/>
        </w:rPr>
      </w:pPr>
    </w:p>
    <w:p w:rsidR="00CB66DA" w:rsidRDefault="00CB66DA" w:rsidP="00CB66DA">
      <w:pPr>
        <w:spacing w:after="120" w:line="360" w:lineRule="auto"/>
        <w:ind w:left="1440" w:hanging="720"/>
        <w:jc w:val="both"/>
        <w:rPr>
          <w:rtl/>
        </w:rPr>
      </w:pPr>
      <w:r w:rsidRPr="003552F4">
        <w:rPr>
          <w:rFonts w:hint="cs"/>
          <w:u w:val="single"/>
          <w:rtl/>
        </w:rPr>
        <w:lastRenderedPageBreak/>
        <w:t>בכל הקשור להחלטות קמא מיום 7.11.2024</w:t>
      </w:r>
      <w:r>
        <w:rPr>
          <w:rFonts w:hint="cs"/>
          <w:rtl/>
        </w:rPr>
        <w:t xml:space="preserve"> -</w:t>
      </w:r>
    </w:p>
    <w:p w:rsidR="00CB66DA" w:rsidRDefault="00CB66DA" w:rsidP="005C2D68">
      <w:pPr>
        <w:spacing w:after="120" w:line="360" w:lineRule="auto"/>
        <w:ind w:left="1440" w:hanging="720"/>
        <w:jc w:val="both"/>
        <w:rPr>
          <w:rtl/>
        </w:rPr>
      </w:pPr>
      <w:r>
        <w:rPr>
          <w:rFonts w:hint="cs"/>
          <w:rtl/>
        </w:rPr>
        <w:t>ג.</w:t>
      </w:r>
      <w:r>
        <w:rPr>
          <w:rFonts w:hint="cs"/>
          <w:rtl/>
        </w:rPr>
        <w:tab/>
      </w:r>
      <w:r w:rsidR="005C2D68">
        <w:rPr>
          <w:rFonts w:hint="cs"/>
          <w:rtl/>
        </w:rPr>
        <w:t>בעניין עירוב לשכת הרווחה ב-</w:t>
      </w:r>
      <w:r w:rsidR="005C2D68">
        <w:rPr>
          <w:rFonts w:hint="cs"/>
        </w:rPr>
        <w:t>X</w:t>
      </w:r>
      <w:r w:rsidRPr="00F11985">
        <w:rPr>
          <w:rFonts w:hint="cs"/>
          <w:rtl/>
        </w:rPr>
        <w:t xml:space="preserve"> ומינוי מתאם הורי</w:t>
      </w:r>
      <w:r>
        <w:rPr>
          <w:rFonts w:hint="cs"/>
          <w:rtl/>
        </w:rPr>
        <w:t xml:space="preserve"> </w:t>
      </w:r>
      <w:r>
        <w:rPr>
          <w:rtl/>
        </w:rPr>
        <w:t>–</w:t>
      </w:r>
      <w:r>
        <w:rPr>
          <w:rFonts w:hint="cs"/>
          <w:rtl/>
        </w:rPr>
        <w:t xml:space="preserve"> שגה בית משפט קמא בהתעלמו מהמלצת המומחה מיום 4.10.24, בדבר הצורך בעירוב לשכת הרווחה </w:t>
      </w:r>
      <w:r w:rsidR="005C2D68">
        <w:rPr>
          <w:rFonts w:hint="cs"/>
        </w:rPr>
        <w:t>X</w:t>
      </w:r>
      <w:r>
        <w:rPr>
          <w:rFonts w:hint="cs"/>
          <w:rtl/>
        </w:rPr>
        <w:t>, ובהעברת הסמכות להכריע ב</w:t>
      </w:r>
      <w:r w:rsidR="005C2D68">
        <w:rPr>
          <w:rFonts w:hint="cs"/>
          <w:rtl/>
        </w:rPr>
        <w:t xml:space="preserve">בקשת המבקש בעניין זה לעו"ס מלשכת </w:t>
      </w:r>
      <w:r w:rsidR="005C2D68">
        <w:rPr>
          <w:rFonts w:hint="cs"/>
        </w:rPr>
        <w:t>Y</w:t>
      </w:r>
      <w:r>
        <w:rPr>
          <w:rFonts w:hint="cs"/>
          <w:rtl/>
        </w:rPr>
        <w:t>.</w:t>
      </w:r>
    </w:p>
    <w:p w:rsidR="00CB66DA" w:rsidRDefault="00CB66DA" w:rsidP="00CB66DA">
      <w:pPr>
        <w:spacing w:after="120" w:line="360" w:lineRule="auto"/>
        <w:ind w:left="1440" w:hanging="720"/>
        <w:jc w:val="both"/>
        <w:rPr>
          <w:rtl/>
        </w:rPr>
      </w:pPr>
      <w:r>
        <w:rPr>
          <w:rFonts w:hint="cs"/>
          <w:rtl/>
        </w:rPr>
        <w:t>ד.</w:t>
      </w:r>
      <w:r>
        <w:rPr>
          <w:rFonts w:hint="cs"/>
          <w:rtl/>
        </w:rPr>
        <w:tab/>
        <w:t>שגה בית משפט קמא עת לא מינה מתאם הורי כהמלצת המומחה; חרף טענת האפוט' לדין בדבר היעדר שיתוף פעולה בין הצדדים, באחריות המשיבה. שגה בית משפט קמא עת נמנע מהכרעה בסוגיה זו, תוך הסתמכות בלתי מבוססת על מקצועיות והגינות העו"ס, בניגוד לטובת הקטינה.</w:t>
      </w:r>
    </w:p>
    <w:p w:rsidR="00CB66DA" w:rsidRDefault="00CB66DA" w:rsidP="00CB66DA">
      <w:pPr>
        <w:spacing w:after="120" w:line="360" w:lineRule="auto"/>
        <w:ind w:left="1440" w:hanging="720"/>
        <w:jc w:val="both"/>
        <w:rPr>
          <w:rtl/>
        </w:rPr>
      </w:pPr>
      <w:r>
        <w:rPr>
          <w:rFonts w:hint="cs"/>
          <w:rtl/>
        </w:rPr>
        <w:t>ה.</w:t>
      </w:r>
      <w:r>
        <w:rPr>
          <w:rFonts w:hint="cs"/>
          <w:rtl/>
        </w:rPr>
        <w:tab/>
        <w:t xml:space="preserve">בעניין מתן ההנחיות ללשכת הרווחה </w:t>
      </w:r>
      <w:r>
        <w:rPr>
          <w:rtl/>
        </w:rPr>
        <w:t>–</w:t>
      </w:r>
      <w:r>
        <w:rPr>
          <w:rFonts w:hint="cs"/>
          <w:rtl/>
        </w:rPr>
        <w:t xml:space="preserve"> שגה בית משפט קמא, משלא הבהיר ללשכת הרווחה כי הנחיותיו לא מהוות הזמנת תסקיר חדש העומד בניגוד לחוות דעת המומחה, אלא נועדו ליישום המלצות המומחה.</w:t>
      </w:r>
    </w:p>
    <w:p w:rsidR="00CB66DA" w:rsidRDefault="00CB66DA" w:rsidP="00CB66DA">
      <w:pPr>
        <w:spacing w:after="120" w:line="360" w:lineRule="auto"/>
        <w:ind w:left="1440" w:hanging="720"/>
        <w:jc w:val="both"/>
        <w:rPr>
          <w:rtl/>
        </w:rPr>
      </w:pPr>
      <w:r w:rsidRPr="00F11985">
        <w:rPr>
          <w:rFonts w:hint="cs"/>
          <w:u w:val="single"/>
          <w:rtl/>
        </w:rPr>
        <w:t xml:space="preserve">בכל הקשור להחלטה קמא מיום 12.11.2024 </w:t>
      </w:r>
      <w:r>
        <w:rPr>
          <w:rFonts w:hint="cs"/>
          <w:rtl/>
        </w:rPr>
        <w:t>-</w:t>
      </w:r>
    </w:p>
    <w:p w:rsidR="00CB66DA" w:rsidRDefault="00CB66DA" w:rsidP="00CB66DA">
      <w:pPr>
        <w:spacing w:after="120" w:line="360" w:lineRule="auto"/>
        <w:ind w:left="1440" w:hanging="720"/>
        <w:jc w:val="both"/>
        <w:rPr>
          <w:rtl/>
        </w:rPr>
      </w:pPr>
      <w:r>
        <w:rPr>
          <w:rFonts w:hint="cs"/>
          <w:rtl/>
        </w:rPr>
        <w:t>ו.</w:t>
      </w:r>
      <w:r>
        <w:rPr>
          <w:rFonts w:hint="cs"/>
          <w:rtl/>
        </w:rPr>
        <w:tab/>
        <w:t>שגה בית משפט קמא, באיומו להשית על המבקש קנס, מבלי לבקש את תגובתו להודעת לשכת הרווחה. הודעה זו מוכחשת ומנוגדת לעובדות שפורטו בבקשת המבקש מיום 13.11.24. כן החלטה זו מהווה פגיעה בכללי הצדק הטבעי, ומעידה על דעה קדומה המונעת בחינה אובייקט</w:t>
      </w:r>
      <w:r w:rsidR="005C2D68">
        <w:rPr>
          <w:rFonts w:hint="cs"/>
          <w:rtl/>
        </w:rPr>
        <w:t>יבית של התנהלות לשכת הרווחה ב-</w:t>
      </w:r>
      <w:r w:rsidR="005C2D68">
        <w:rPr>
          <w:rFonts w:hint="cs"/>
        </w:rPr>
        <w:t>Y</w:t>
      </w:r>
      <w:r>
        <w:rPr>
          <w:rFonts w:hint="cs"/>
          <w:rtl/>
        </w:rPr>
        <w:t>, באופן הפוגע בזכויות המבקש ובטובת הקטינה.</w:t>
      </w:r>
    </w:p>
    <w:p w:rsidR="00CB66DA" w:rsidRDefault="00CB66DA" w:rsidP="00CB66DA">
      <w:pPr>
        <w:spacing w:after="120" w:line="360" w:lineRule="auto"/>
        <w:ind w:left="1440" w:hanging="720"/>
        <w:jc w:val="both"/>
        <w:rPr>
          <w:rtl/>
        </w:rPr>
      </w:pPr>
      <w:r w:rsidRPr="00F11985">
        <w:rPr>
          <w:rFonts w:hint="cs"/>
          <w:u w:val="single"/>
          <w:rtl/>
        </w:rPr>
        <w:t>בכל הקשור להחלטה קמא מיום 14.11.2024</w:t>
      </w:r>
      <w:r>
        <w:rPr>
          <w:rFonts w:hint="cs"/>
          <w:rtl/>
        </w:rPr>
        <w:t xml:space="preserve"> </w:t>
      </w:r>
      <w:r>
        <w:rPr>
          <w:rtl/>
        </w:rPr>
        <w:t>–</w:t>
      </w:r>
    </w:p>
    <w:p w:rsidR="00CB66DA" w:rsidRDefault="00CB66DA" w:rsidP="005C2D68">
      <w:pPr>
        <w:spacing w:after="120" w:line="360" w:lineRule="auto"/>
        <w:ind w:left="1440" w:hanging="720"/>
        <w:jc w:val="both"/>
        <w:rPr>
          <w:rtl/>
        </w:rPr>
      </w:pPr>
      <w:r>
        <w:rPr>
          <w:rFonts w:hint="cs"/>
          <w:rtl/>
        </w:rPr>
        <w:t>ז.</w:t>
      </w:r>
      <w:r>
        <w:rPr>
          <w:rFonts w:hint="cs"/>
          <w:rtl/>
        </w:rPr>
        <w:tab/>
        <w:t xml:space="preserve">שגה בית משפט קמא בקביעתו, כי לא התקיימו נסיבות חדשות המצדיקות עיון חוזר, בהתעלמו מהאירועים שהתרחשו בפגישה עם לשכת הרווחה ביום 12.11.24 ושפורטו בבקשתו לעיון חוזר. ארועים אלה מהווים נסיבות חדשות ומצדיקים את פסילת לשכת רווחה </w:t>
      </w:r>
      <w:r w:rsidR="005C2D68">
        <w:rPr>
          <w:rFonts w:hint="cs"/>
        </w:rPr>
        <w:t>Y</w:t>
      </w:r>
      <w:r>
        <w:rPr>
          <w:rFonts w:hint="cs"/>
          <w:rtl/>
        </w:rPr>
        <w:t xml:space="preserve">. </w:t>
      </w:r>
    </w:p>
    <w:p w:rsidR="00CB66DA" w:rsidRDefault="00CB66DA" w:rsidP="00CB66DA">
      <w:pPr>
        <w:spacing w:after="120" w:line="360" w:lineRule="auto"/>
        <w:ind w:left="1440" w:hanging="720"/>
        <w:jc w:val="both"/>
        <w:rPr>
          <w:rtl/>
        </w:rPr>
      </w:pPr>
      <w:r w:rsidRPr="00F11985">
        <w:rPr>
          <w:rFonts w:hint="cs"/>
          <w:u w:val="single"/>
          <w:rtl/>
        </w:rPr>
        <w:t>בכל הקשור להחלטה קמא מיום 18.11.2024</w:t>
      </w:r>
      <w:r>
        <w:rPr>
          <w:rFonts w:hint="cs"/>
          <w:rtl/>
        </w:rPr>
        <w:t xml:space="preserve"> </w:t>
      </w:r>
      <w:r>
        <w:rPr>
          <w:rtl/>
        </w:rPr>
        <w:t>–</w:t>
      </w:r>
    </w:p>
    <w:p w:rsidR="00CB66DA" w:rsidRDefault="00CB66DA" w:rsidP="00CB66DA">
      <w:pPr>
        <w:spacing w:after="120" w:line="360" w:lineRule="auto"/>
        <w:ind w:left="1440" w:hanging="720"/>
        <w:jc w:val="both"/>
        <w:rPr>
          <w:rtl/>
        </w:rPr>
      </w:pPr>
      <w:r>
        <w:rPr>
          <w:rFonts w:hint="cs"/>
          <w:rtl/>
        </w:rPr>
        <w:t>ח.</w:t>
      </w:r>
      <w:r>
        <w:rPr>
          <w:rFonts w:hint="cs"/>
          <w:rtl/>
        </w:rPr>
        <w:tab/>
        <w:t>שגה בית משפט קמא בהחלטתו, כאשר התייחס רק לסעד של עיון חוזר, תוך התעלמות מהסעד שהתבקש בעניין ההבהרה. החלטות בית המשפט קמא לא ברורות דיין למבקש וללשכת הרווחה, שהפנתה את המבקש לבית המשפט בשאלת ההבהרה. העמימות הנובעת מהחלטת בית משפט קמא מובילה להמשך המחלוקת בעניין עבודת לשכת הרווחה, תוך פגיעה קשה בזכויות המבקש ובטובת הקטינה.</w:t>
      </w:r>
    </w:p>
    <w:p w:rsidR="00CB66DA" w:rsidRDefault="00CB66DA" w:rsidP="00CB66DA">
      <w:pPr>
        <w:spacing w:after="120" w:line="360" w:lineRule="auto"/>
        <w:ind w:left="1440" w:hanging="720"/>
        <w:jc w:val="both"/>
        <w:rPr>
          <w:rtl/>
        </w:rPr>
      </w:pPr>
      <w:r w:rsidRPr="00F11985">
        <w:rPr>
          <w:rFonts w:hint="cs"/>
          <w:u w:val="single"/>
          <w:rtl/>
        </w:rPr>
        <w:t>בכל הקשור להחלטה קמא מיום 27.11.2024</w:t>
      </w:r>
      <w:r>
        <w:rPr>
          <w:rFonts w:hint="cs"/>
          <w:rtl/>
        </w:rPr>
        <w:t xml:space="preserve"> </w:t>
      </w:r>
      <w:r>
        <w:rPr>
          <w:rtl/>
        </w:rPr>
        <w:t>–</w:t>
      </w:r>
    </w:p>
    <w:p w:rsidR="00CB66DA" w:rsidRDefault="00CB66DA" w:rsidP="00173255">
      <w:pPr>
        <w:spacing w:after="120" w:line="360" w:lineRule="auto"/>
        <w:ind w:left="1440" w:hanging="720"/>
        <w:jc w:val="both"/>
        <w:rPr>
          <w:rtl/>
        </w:rPr>
      </w:pPr>
      <w:r>
        <w:rPr>
          <w:rFonts w:hint="cs"/>
          <w:rtl/>
        </w:rPr>
        <w:t>ט.</w:t>
      </w:r>
      <w:r>
        <w:rPr>
          <w:rFonts w:hint="cs"/>
          <w:rtl/>
        </w:rPr>
        <w:tab/>
        <w:t xml:space="preserve">שגה בית משפט קמא, עת נתן ההחלטה קמא מבלי לבקש את תגובת המבקש, חרף בקשה תלויה ועומדת בעניין זה. ההחלטה משקפת דעה קדומה והסתמכות בלתי מבוססת על טענות לשכת רווחה </w:t>
      </w:r>
      <w:r w:rsidR="00173255">
        <w:rPr>
          <w:rFonts w:hint="cs"/>
        </w:rPr>
        <w:t>Y</w:t>
      </w:r>
      <w:r>
        <w:rPr>
          <w:rFonts w:hint="cs"/>
          <w:rtl/>
        </w:rPr>
        <w:t>, תוך פגיעה קשה בזכויות המבקש ובטובת הקטינה.</w:t>
      </w:r>
    </w:p>
    <w:p w:rsidR="00CB66DA" w:rsidRDefault="00CB66DA" w:rsidP="00CB66DA">
      <w:pPr>
        <w:spacing w:after="120" w:line="360" w:lineRule="auto"/>
        <w:rPr>
          <w:rFonts w:ascii="David" w:hAnsi="David"/>
          <w:b/>
          <w:bCs/>
          <w:u w:val="single"/>
        </w:rPr>
      </w:pPr>
      <w:r>
        <w:rPr>
          <w:rFonts w:ascii="David" w:hAnsi="David"/>
          <w:b/>
          <w:bCs/>
          <w:u w:val="single"/>
          <w:rtl/>
        </w:rPr>
        <w:lastRenderedPageBreak/>
        <w:t>דיון והכרעה</w:t>
      </w:r>
    </w:p>
    <w:p w:rsidR="00CB66DA" w:rsidRDefault="00CB66DA" w:rsidP="00CB66DA">
      <w:pPr>
        <w:spacing w:after="120" w:line="360" w:lineRule="auto"/>
        <w:ind w:left="720" w:hanging="720"/>
        <w:jc w:val="both"/>
        <w:rPr>
          <w:rFonts w:ascii="David" w:hAnsi="David"/>
          <w:b/>
          <w:bCs/>
          <w:rtl/>
        </w:rPr>
      </w:pPr>
      <w:r>
        <w:rPr>
          <w:rFonts w:ascii="David" w:hAnsi="David" w:hint="cs"/>
          <w:rtl/>
        </w:rPr>
        <w:t>28</w:t>
      </w:r>
      <w:r>
        <w:rPr>
          <w:rFonts w:ascii="David" w:hAnsi="David"/>
          <w:rtl/>
        </w:rPr>
        <w:t>.</w:t>
      </w:r>
      <w:r>
        <w:rPr>
          <w:rFonts w:ascii="David" w:hAnsi="David"/>
          <w:rtl/>
        </w:rPr>
        <w:tab/>
      </w:r>
      <w:r>
        <w:rPr>
          <w:rFonts w:ascii="David" w:hAnsi="David"/>
          <w:b/>
          <w:bCs/>
          <w:rtl/>
        </w:rPr>
        <w:t xml:space="preserve">לאחר עיון בבקשת רשות הערעור על נספחיה ובתיק קמא, שוכנעתי לדחות את בקשת רשות הערעור אף ללא תשובה, </w:t>
      </w:r>
      <w:r>
        <w:rPr>
          <w:rFonts w:ascii="David" w:hAnsi="David" w:hint="cs"/>
          <w:b/>
          <w:bCs/>
          <w:rtl/>
        </w:rPr>
        <w:t xml:space="preserve">בכל שבע ההחלטות בגינן הוגשה בקשת רשות ערעור זו, </w:t>
      </w:r>
      <w:r>
        <w:rPr>
          <w:rFonts w:ascii="David" w:hAnsi="David"/>
          <w:b/>
          <w:bCs/>
          <w:rtl/>
        </w:rPr>
        <w:t>מכח סמכותי על פי תקנות 138(א)(2) + (5) לתקנות סדר הדין האזרחי, תשע"ט-2018.</w:t>
      </w:r>
    </w:p>
    <w:p w:rsidR="00CB66DA" w:rsidRDefault="00CB66DA" w:rsidP="00CB66DA">
      <w:pPr>
        <w:spacing w:after="120" w:line="360" w:lineRule="auto"/>
        <w:ind w:left="720" w:hanging="720"/>
        <w:jc w:val="both"/>
        <w:rPr>
          <w:rFonts w:ascii="David" w:hAnsi="David"/>
          <w:b/>
          <w:bCs/>
          <w:rtl/>
        </w:rPr>
      </w:pPr>
      <w:r>
        <w:rPr>
          <w:rFonts w:ascii="David" w:hAnsi="David"/>
          <w:rtl/>
        </w:rPr>
        <w:tab/>
      </w:r>
      <w:r>
        <w:rPr>
          <w:rFonts w:ascii="David" w:hAnsi="David" w:hint="cs"/>
          <w:rtl/>
        </w:rPr>
        <w:t>להלן אנמק את החלטתי.</w:t>
      </w:r>
    </w:p>
    <w:p w:rsidR="00CB66DA" w:rsidRDefault="00CB66DA" w:rsidP="00F11985">
      <w:pPr>
        <w:spacing w:after="120" w:line="360" w:lineRule="auto"/>
        <w:ind w:left="732" w:hanging="732"/>
        <w:jc w:val="both"/>
        <w:rPr>
          <w:rtl/>
        </w:rPr>
      </w:pPr>
      <w:r>
        <w:rPr>
          <w:rFonts w:ascii="David" w:hAnsi="David" w:hint="cs"/>
          <w:rtl/>
        </w:rPr>
        <w:t>29</w:t>
      </w:r>
      <w:r>
        <w:rPr>
          <w:rFonts w:ascii="David" w:hAnsi="David"/>
          <w:rtl/>
        </w:rPr>
        <w:t>.</w:t>
      </w:r>
      <w:r>
        <w:rPr>
          <w:rFonts w:ascii="David" w:hAnsi="David"/>
          <w:rtl/>
        </w:rPr>
        <w:tab/>
      </w:r>
      <w:r>
        <w:rPr>
          <w:rFonts w:ascii="David" w:hAnsi="David" w:hint="cs"/>
          <w:rtl/>
        </w:rPr>
        <w:t>בכל הקשור להחלטה קמא מיום 7.11.24, עסקינן</w:t>
      </w:r>
      <w:r>
        <w:rPr>
          <w:rFonts w:hint="cs"/>
          <w:rtl/>
        </w:rPr>
        <w:t xml:space="preserve"> במתן הנחיות לתסקיר עו"ס</w:t>
      </w:r>
      <w:r w:rsidR="00F11985">
        <w:rPr>
          <w:rFonts w:ascii="David" w:hAnsi="David" w:hint="cs"/>
          <w:rtl/>
        </w:rPr>
        <w:t xml:space="preserve"> </w:t>
      </w:r>
      <w:r>
        <w:rPr>
          <w:rFonts w:ascii="David" w:hAnsi="David" w:hint="cs"/>
          <w:rtl/>
        </w:rPr>
        <w:t xml:space="preserve">בדבר </w:t>
      </w:r>
      <w:r>
        <w:rPr>
          <w:rFonts w:ascii="David" w:hAnsi="David"/>
          <w:rtl/>
        </w:rPr>
        <w:t xml:space="preserve">הסוגיות בהן </w:t>
      </w:r>
      <w:r>
        <w:rPr>
          <w:rFonts w:ascii="David" w:hAnsi="David" w:hint="cs"/>
          <w:rtl/>
        </w:rPr>
        <w:t xml:space="preserve">מתבקשת חוות דעתה של העו"ס. </w:t>
      </w:r>
    </w:p>
    <w:p w:rsidR="00CB66DA" w:rsidRDefault="00CB66DA" w:rsidP="00037114">
      <w:pPr>
        <w:spacing w:after="120" w:line="360" w:lineRule="auto"/>
        <w:ind w:left="732" w:hanging="732"/>
        <w:jc w:val="both"/>
        <w:rPr>
          <w:rtl/>
        </w:rPr>
      </w:pPr>
      <w:r>
        <w:rPr>
          <w:rtl/>
        </w:rPr>
        <w:tab/>
      </w:r>
      <w:r>
        <w:rPr>
          <w:rFonts w:hint="cs"/>
          <w:rtl/>
        </w:rPr>
        <w:t xml:space="preserve">ידועה הפסיקה לפיה, </w:t>
      </w:r>
      <w:r w:rsidRPr="00D235F8">
        <w:rPr>
          <w:rtl/>
        </w:rPr>
        <w:t>לתסקיר עו"ס מעמד דומה למעמד של חוות דעת מומחה. בתי המשפט שבו וחזרו על הלכה לפיה לצורך בחינת טובת הקטין, על ביהמ"ש להסתייע באנשי מקצוע</w:t>
      </w:r>
      <w:r>
        <w:rPr>
          <w:rFonts w:hint="cs"/>
          <w:rtl/>
        </w:rPr>
        <w:t>, ועו"ס בכללם.</w:t>
      </w:r>
    </w:p>
    <w:p w:rsidR="00CB66DA" w:rsidRDefault="00CB66DA" w:rsidP="00CB66DA">
      <w:pPr>
        <w:spacing w:after="120" w:line="360" w:lineRule="auto"/>
        <w:ind w:left="732" w:hanging="732"/>
        <w:jc w:val="both"/>
        <w:rPr>
          <w:rtl/>
        </w:rPr>
      </w:pPr>
      <w:r>
        <w:rPr>
          <w:rtl/>
        </w:rPr>
        <w:tab/>
      </w:r>
      <w:r w:rsidRPr="00D235F8">
        <w:rPr>
          <w:rFonts w:hint="cs"/>
          <w:u w:val="single"/>
          <w:rtl/>
        </w:rPr>
        <w:t>ראו לעניין זה</w:t>
      </w:r>
      <w:r>
        <w:rPr>
          <w:rFonts w:hint="cs"/>
          <w:rtl/>
        </w:rPr>
        <w:t>:</w:t>
      </w:r>
    </w:p>
    <w:p w:rsidR="00CB66DA" w:rsidRDefault="00CB66DA" w:rsidP="00CB66DA">
      <w:pPr>
        <w:spacing w:after="120" w:line="360" w:lineRule="auto"/>
        <w:ind w:left="732" w:hanging="732"/>
        <w:jc w:val="both"/>
        <w:rPr>
          <w:rtl/>
        </w:rPr>
      </w:pPr>
      <w:r>
        <w:rPr>
          <w:rtl/>
        </w:rPr>
        <w:tab/>
      </w:r>
      <w:r w:rsidRPr="00D235F8">
        <w:rPr>
          <w:rtl/>
        </w:rPr>
        <w:t>בע"מ</w:t>
      </w:r>
      <w:r>
        <w:rPr>
          <w:rtl/>
        </w:rPr>
        <w:t xml:space="preserve"> 4259/06 </w:t>
      </w:r>
      <w:r w:rsidRPr="00D235F8">
        <w:rPr>
          <w:b/>
          <w:bCs/>
          <w:rtl/>
        </w:rPr>
        <w:t>פלוני נ' היועמ"ש</w:t>
      </w:r>
      <w:r>
        <w:rPr>
          <w:rtl/>
        </w:rPr>
        <w:t xml:space="preserve"> </w:t>
      </w:r>
      <w:r w:rsidRPr="00D235F8">
        <w:rPr>
          <w:rtl/>
        </w:rPr>
        <w:t>(13.7.</w:t>
      </w:r>
      <w:r>
        <w:rPr>
          <w:rFonts w:hint="cs"/>
          <w:rtl/>
        </w:rPr>
        <w:t>2006</w:t>
      </w:r>
      <w:r w:rsidRPr="00D235F8">
        <w:rPr>
          <w:rtl/>
        </w:rPr>
        <w:t xml:space="preserve">); </w:t>
      </w:r>
    </w:p>
    <w:p w:rsidR="00CB66DA" w:rsidRDefault="00CB66DA" w:rsidP="00CB66DA">
      <w:pPr>
        <w:spacing w:after="120" w:line="360" w:lineRule="auto"/>
        <w:ind w:left="732" w:hanging="732"/>
        <w:jc w:val="both"/>
        <w:rPr>
          <w:rtl/>
        </w:rPr>
      </w:pPr>
      <w:r>
        <w:rPr>
          <w:rtl/>
        </w:rPr>
        <w:tab/>
      </w:r>
      <w:r w:rsidRPr="00D235F8">
        <w:rPr>
          <w:rtl/>
        </w:rPr>
        <w:t>ע"</w:t>
      </w:r>
      <w:r>
        <w:rPr>
          <w:rtl/>
        </w:rPr>
        <w:t xml:space="preserve">מ 5072/10 </w:t>
      </w:r>
      <w:r w:rsidRPr="00D235F8">
        <w:rPr>
          <w:b/>
          <w:bCs/>
          <w:rtl/>
        </w:rPr>
        <w:t>פלוני נ' אלמונית</w:t>
      </w:r>
      <w:r>
        <w:rPr>
          <w:rtl/>
        </w:rPr>
        <w:t xml:space="preserve"> (26.10.</w:t>
      </w:r>
      <w:r>
        <w:rPr>
          <w:rFonts w:hint="cs"/>
          <w:rtl/>
        </w:rPr>
        <w:t>2010</w:t>
      </w:r>
      <w:r>
        <w:rPr>
          <w:rtl/>
        </w:rPr>
        <w:t>)</w:t>
      </w:r>
      <w:r>
        <w:rPr>
          <w:rFonts w:hint="cs"/>
          <w:rtl/>
        </w:rPr>
        <w:t>;</w:t>
      </w:r>
    </w:p>
    <w:p w:rsidR="00CB66DA" w:rsidRPr="00D235F8" w:rsidRDefault="00CB66DA" w:rsidP="00CB66DA">
      <w:pPr>
        <w:spacing w:after="120" w:line="360" w:lineRule="auto"/>
        <w:ind w:left="732" w:hanging="732"/>
        <w:jc w:val="both"/>
        <w:rPr>
          <w:rtl/>
        </w:rPr>
      </w:pPr>
      <w:r>
        <w:rPr>
          <w:rtl/>
        </w:rPr>
        <w:tab/>
      </w:r>
      <w:r w:rsidRPr="00D235F8">
        <w:rPr>
          <w:rtl/>
        </w:rPr>
        <w:t>עמ</w:t>
      </w:r>
      <w:r>
        <w:rPr>
          <w:rFonts w:hint="cs"/>
          <w:rtl/>
        </w:rPr>
        <w:t>"</w:t>
      </w:r>
      <w:r>
        <w:rPr>
          <w:rtl/>
        </w:rPr>
        <w:t>ש (ת"א) 62520-07-24‏</w:t>
      </w:r>
      <w:r w:rsidRPr="00D235F8">
        <w:rPr>
          <w:rtl/>
        </w:rPr>
        <w:t xml:space="preserve"> </w:t>
      </w:r>
      <w:r w:rsidRPr="00D235F8">
        <w:rPr>
          <w:b/>
          <w:bCs/>
          <w:rtl/>
        </w:rPr>
        <w:t>פלוני נ' המחלקה לשירותים חברתיים</w:t>
      </w:r>
      <w:r>
        <w:rPr>
          <w:rFonts w:hint="cs"/>
          <w:rtl/>
        </w:rPr>
        <w:t xml:space="preserve"> (27.8.2024).</w:t>
      </w:r>
    </w:p>
    <w:p w:rsidR="00CB66DA" w:rsidRDefault="00CB66DA" w:rsidP="00CB66DA">
      <w:pPr>
        <w:spacing w:after="120" w:line="360" w:lineRule="auto"/>
        <w:ind w:left="720" w:hanging="720"/>
        <w:jc w:val="both"/>
        <w:rPr>
          <w:rFonts w:ascii="David" w:hAnsi="David"/>
          <w:rtl/>
        </w:rPr>
      </w:pPr>
      <w:r>
        <w:rPr>
          <w:rFonts w:ascii="David" w:hAnsi="David" w:hint="cs"/>
          <w:rtl/>
        </w:rPr>
        <w:t>30.</w:t>
      </w:r>
      <w:r>
        <w:rPr>
          <w:rFonts w:ascii="David" w:hAnsi="David" w:hint="cs"/>
          <w:rtl/>
        </w:rPr>
        <w:tab/>
        <w:t xml:space="preserve">בית משפט קמא חזר וקבע בהחלטותיו, כי על העו"ס ליתן חוות דעתה בראי טובת הקטינה, בכל הסוגיות העומדות על הפרק </w:t>
      </w:r>
      <w:r>
        <w:rPr>
          <w:rFonts w:ascii="David" w:hAnsi="David"/>
          <w:rtl/>
        </w:rPr>
        <w:t>–</w:t>
      </w:r>
      <w:r>
        <w:rPr>
          <w:rFonts w:ascii="David" w:hAnsi="David" w:hint="cs"/>
          <w:rtl/>
        </w:rPr>
        <w:t xml:space="preserve"> זמני שהות הקטינה עם המבקש, מקום מגורי הקטינה והמסגרת בה תתחנך. החלטות אלה שזורות כחוט השני בתיק קמא (נפנה להחלטות מימים 18.2.24; 14.6.24 (שאף צוינה בסעיף 8 לעיל); 21.7.24 וכמובן 7.11.24). </w:t>
      </w:r>
      <w:r w:rsidRPr="00EA4FD4">
        <w:rPr>
          <w:rFonts w:ascii="David" w:hAnsi="David" w:hint="cs"/>
          <w:b/>
          <w:bCs/>
          <w:rtl/>
        </w:rPr>
        <w:t xml:space="preserve">ודוק </w:t>
      </w:r>
      <w:r w:rsidRPr="00EA4FD4">
        <w:rPr>
          <w:rFonts w:ascii="David" w:hAnsi="David"/>
          <w:b/>
          <w:bCs/>
          <w:rtl/>
        </w:rPr>
        <w:t>–</w:t>
      </w:r>
      <w:r w:rsidRPr="00EA4FD4">
        <w:rPr>
          <w:rFonts w:ascii="David" w:hAnsi="David" w:hint="cs"/>
          <w:b/>
          <w:bCs/>
          <w:rtl/>
        </w:rPr>
        <w:t xml:space="preserve"> חוות דעתה של העו"ס מתווספת לחוות דעת המומחה, ולא באה במקומו או </w:t>
      </w:r>
      <w:r>
        <w:rPr>
          <w:rFonts w:ascii="David" w:hAnsi="David" w:hint="cs"/>
          <w:b/>
          <w:bCs/>
          <w:rtl/>
        </w:rPr>
        <w:t>כפופה לו</w:t>
      </w:r>
      <w:r w:rsidRPr="00EA4FD4">
        <w:rPr>
          <w:rFonts w:ascii="David" w:hAnsi="David" w:hint="cs"/>
          <w:b/>
          <w:bCs/>
          <w:rtl/>
        </w:rPr>
        <w:t>.</w:t>
      </w:r>
    </w:p>
    <w:p w:rsidR="00CB66DA" w:rsidRDefault="00CB66DA" w:rsidP="00F11985">
      <w:pPr>
        <w:spacing w:after="120" w:line="360" w:lineRule="auto"/>
        <w:ind w:left="720" w:hanging="720"/>
        <w:jc w:val="both"/>
        <w:rPr>
          <w:rFonts w:ascii="David" w:hAnsi="David"/>
          <w:rtl/>
        </w:rPr>
      </w:pPr>
      <w:r>
        <w:rPr>
          <w:rFonts w:ascii="David" w:hAnsi="David"/>
          <w:rtl/>
        </w:rPr>
        <w:tab/>
      </w:r>
      <w:r>
        <w:rPr>
          <w:rFonts w:ascii="David" w:hAnsi="David" w:hint="cs"/>
          <w:rtl/>
        </w:rPr>
        <w:t xml:space="preserve">כך עולה מפורשות מההחלטה מיום 14.6.24, במסגרתה צוין כי </w:t>
      </w:r>
      <w:r w:rsidRPr="009C221D">
        <w:rPr>
          <w:rFonts w:ascii="David" w:hAnsi="David"/>
          <w:rtl/>
        </w:rPr>
        <w:t>מינוי</w:t>
      </w:r>
      <w:r>
        <w:rPr>
          <w:rFonts w:ascii="David" w:hAnsi="David" w:hint="cs"/>
          <w:rtl/>
        </w:rPr>
        <w:t xml:space="preserve"> </w:t>
      </w:r>
      <w:r w:rsidRPr="009C221D">
        <w:rPr>
          <w:rFonts w:ascii="David" w:hAnsi="David"/>
          <w:rtl/>
        </w:rPr>
        <w:t xml:space="preserve">המומחה והמלצותיו אינן יכולות להוות </w:t>
      </w:r>
      <w:r w:rsidRPr="000263F9">
        <w:rPr>
          <w:rFonts w:ascii="David" w:hAnsi="David"/>
          <w:u w:val="single"/>
          <w:rtl/>
        </w:rPr>
        <w:t>תחליף</w:t>
      </w:r>
      <w:r w:rsidRPr="009C221D">
        <w:rPr>
          <w:rFonts w:ascii="David" w:hAnsi="David"/>
          <w:rtl/>
        </w:rPr>
        <w:t xml:space="preserve"> למינוי עו"ס</w:t>
      </w:r>
      <w:r>
        <w:rPr>
          <w:rFonts w:ascii="David" w:hAnsi="David" w:hint="cs"/>
          <w:rtl/>
        </w:rPr>
        <w:t xml:space="preserve"> </w:t>
      </w:r>
      <w:r w:rsidRPr="009C221D">
        <w:rPr>
          <w:rFonts w:ascii="David" w:hAnsi="David"/>
          <w:rtl/>
        </w:rPr>
        <w:t>והגשת תסקירים מט</w:t>
      </w:r>
      <w:r>
        <w:rPr>
          <w:rFonts w:ascii="David" w:hAnsi="David"/>
          <w:rtl/>
        </w:rPr>
        <w:t xml:space="preserve">עמה. </w:t>
      </w:r>
      <w:r w:rsidRPr="009C221D">
        <w:rPr>
          <w:rFonts w:ascii="David" w:hAnsi="David"/>
          <w:rtl/>
        </w:rPr>
        <w:t>במקרה דנן,</w:t>
      </w:r>
      <w:r>
        <w:rPr>
          <w:rFonts w:ascii="David" w:hAnsi="David" w:hint="cs"/>
          <w:rtl/>
        </w:rPr>
        <w:t xml:space="preserve"> כך נקבע, </w:t>
      </w:r>
      <w:r w:rsidRPr="009C221D">
        <w:rPr>
          <w:rFonts w:ascii="David" w:hAnsi="David"/>
          <w:rtl/>
        </w:rPr>
        <w:t xml:space="preserve">עבודת עו"ס תיעשה </w:t>
      </w:r>
      <w:r w:rsidRPr="000263F9">
        <w:rPr>
          <w:rFonts w:ascii="David" w:hAnsi="David"/>
          <w:u w:val="single"/>
          <w:rtl/>
        </w:rPr>
        <w:t>בשילוב</w:t>
      </w:r>
      <w:r w:rsidRPr="009C221D">
        <w:rPr>
          <w:rFonts w:ascii="David" w:hAnsi="David"/>
          <w:rtl/>
        </w:rPr>
        <w:t xml:space="preserve"> עם המומחה והמלצותיו,</w:t>
      </w:r>
      <w:r>
        <w:rPr>
          <w:rFonts w:ascii="David" w:hAnsi="David" w:hint="cs"/>
          <w:rtl/>
        </w:rPr>
        <w:t xml:space="preserve"> </w:t>
      </w:r>
      <w:r w:rsidRPr="009C221D">
        <w:rPr>
          <w:rFonts w:ascii="David" w:hAnsi="David"/>
          <w:rtl/>
        </w:rPr>
        <w:t>כאשר, בין היתר, עו"ס תעדכן את בית המשפט אודות יישום</w:t>
      </w:r>
      <w:r>
        <w:rPr>
          <w:rFonts w:ascii="David" w:hAnsi="David" w:hint="cs"/>
          <w:rtl/>
        </w:rPr>
        <w:t xml:space="preserve"> </w:t>
      </w:r>
      <w:r w:rsidRPr="009C221D">
        <w:rPr>
          <w:rFonts w:ascii="David" w:hAnsi="David"/>
          <w:rtl/>
        </w:rPr>
        <w:t xml:space="preserve">המלצות המומחה בפועל, בעוד המומחה </w:t>
      </w:r>
      <w:r w:rsidR="00F11985">
        <w:rPr>
          <w:rFonts w:ascii="David" w:hAnsi="David" w:hint="cs"/>
          <w:rtl/>
        </w:rPr>
        <w:t>אמור לסיים</w:t>
      </w:r>
      <w:r w:rsidRPr="009C221D">
        <w:rPr>
          <w:rFonts w:ascii="David" w:hAnsi="David"/>
          <w:rtl/>
        </w:rPr>
        <w:t xml:space="preserve"> את תפקידו</w:t>
      </w:r>
      <w:r>
        <w:rPr>
          <w:rFonts w:ascii="David" w:hAnsi="David" w:hint="cs"/>
          <w:rtl/>
        </w:rPr>
        <w:t xml:space="preserve"> </w:t>
      </w:r>
      <w:r w:rsidRPr="009C221D">
        <w:rPr>
          <w:rFonts w:ascii="David" w:hAnsi="David"/>
          <w:rtl/>
        </w:rPr>
        <w:t>עם הגשת חוות דעתו והמלצותיו לבית המשפט.</w:t>
      </w:r>
    </w:p>
    <w:p w:rsidR="00CB66DA" w:rsidRDefault="00CB66DA" w:rsidP="00CB66DA">
      <w:pPr>
        <w:spacing w:after="120" w:line="360" w:lineRule="auto"/>
        <w:ind w:left="720" w:hanging="720"/>
        <w:jc w:val="both"/>
        <w:rPr>
          <w:rFonts w:ascii="David" w:hAnsi="David"/>
          <w:rtl/>
        </w:rPr>
      </w:pPr>
      <w:r>
        <w:rPr>
          <w:rFonts w:ascii="David" w:hAnsi="David" w:hint="cs"/>
          <w:rtl/>
        </w:rPr>
        <w:t>31.</w:t>
      </w:r>
      <w:r>
        <w:rPr>
          <w:rFonts w:ascii="David" w:hAnsi="David" w:hint="cs"/>
          <w:rtl/>
        </w:rPr>
        <w:tab/>
      </w:r>
      <w:r>
        <w:rPr>
          <w:rFonts w:ascii="David" w:hAnsi="David"/>
          <w:rtl/>
        </w:rPr>
        <w:t>החלטה כאמור</w:t>
      </w:r>
      <w:r>
        <w:rPr>
          <w:rFonts w:ascii="David" w:hAnsi="David" w:hint="cs"/>
          <w:rtl/>
        </w:rPr>
        <w:t>,</w:t>
      </w:r>
      <w:r>
        <w:rPr>
          <w:rFonts w:ascii="David" w:hAnsi="David"/>
          <w:rtl/>
        </w:rPr>
        <w:t xml:space="preserve"> </w:t>
      </w:r>
      <w:r>
        <w:rPr>
          <w:rFonts w:ascii="David" w:hAnsi="David" w:hint="cs"/>
          <w:rtl/>
        </w:rPr>
        <w:t xml:space="preserve">העוסקת במתן הוראות לעו"ס או מומחה בקשר לנושאי חוות דעתם ותוכנה, </w:t>
      </w:r>
      <w:r>
        <w:rPr>
          <w:rFonts w:ascii="David" w:hAnsi="David"/>
          <w:rtl/>
        </w:rPr>
        <w:t xml:space="preserve">היא בגדר החלטה דיונית מובהקת המצויה בליבת שיקול הדעת של הערכאה הדיונית, בה לא תתערב ערכאת הערעור אלא במקרים חריגים בלבד. </w:t>
      </w:r>
    </w:p>
    <w:p w:rsidR="00CB66DA" w:rsidRDefault="00CB66DA" w:rsidP="00CB66DA">
      <w:pPr>
        <w:spacing w:after="120" w:line="360" w:lineRule="auto"/>
        <w:ind w:left="720" w:hanging="720"/>
        <w:jc w:val="both"/>
        <w:rPr>
          <w:rFonts w:ascii="David" w:hAnsi="David"/>
          <w:rtl/>
        </w:rPr>
      </w:pPr>
      <w:r>
        <w:rPr>
          <w:rFonts w:ascii="David" w:hAnsi="David"/>
          <w:rtl/>
        </w:rPr>
        <w:tab/>
      </w:r>
      <w:r>
        <w:rPr>
          <w:rFonts w:ascii="David" w:hAnsi="David"/>
          <w:u w:val="single"/>
          <w:rtl/>
        </w:rPr>
        <w:t>ראו לענין זה</w:t>
      </w:r>
      <w:r>
        <w:rPr>
          <w:rFonts w:ascii="David" w:hAnsi="David"/>
          <w:rtl/>
        </w:rPr>
        <w:t>:</w:t>
      </w:r>
    </w:p>
    <w:p w:rsidR="00CB66DA" w:rsidRDefault="00CB66DA" w:rsidP="00CB66DA">
      <w:pPr>
        <w:spacing w:after="120" w:line="360" w:lineRule="auto"/>
        <w:ind w:left="720" w:hanging="720"/>
        <w:jc w:val="both"/>
        <w:rPr>
          <w:rFonts w:ascii="David" w:hAnsi="David"/>
          <w:rtl/>
        </w:rPr>
      </w:pPr>
      <w:r>
        <w:rPr>
          <w:rFonts w:ascii="David" w:hAnsi="David"/>
          <w:rtl/>
        </w:rPr>
        <w:tab/>
        <w:t xml:space="preserve">רע"א 1657/23 </w:t>
      </w:r>
      <w:r>
        <w:rPr>
          <w:rFonts w:ascii="David" w:hAnsi="David"/>
          <w:b/>
          <w:bCs/>
          <w:rtl/>
        </w:rPr>
        <w:t>קורוצ'קין נ' המרכז הרפואי ברזילי ואח'</w:t>
      </w:r>
      <w:r>
        <w:rPr>
          <w:rFonts w:ascii="David" w:hAnsi="David"/>
          <w:rtl/>
        </w:rPr>
        <w:t>, פסקה 4 (15.3.23);</w:t>
      </w:r>
    </w:p>
    <w:p w:rsidR="00CB66DA" w:rsidRDefault="00CB66DA" w:rsidP="00CB66DA">
      <w:pPr>
        <w:spacing w:after="120" w:line="360" w:lineRule="auto"/>
        <w:ind w:left="720" w:hanging="720"/>
        <w:jc w:val="both"/>
        <w:rPr>
          <w:rFonts w:ascii="David" w:hAnsi="David"/>
          <w:rtl/>
        </w:rPr>
      </w:pPr>
      <w:r>
        <w:rPr>
          <w:rFonts w:ascii="David" w:hAnsi="David"/>
          <w:rtl/>
        </w:rPr>
        <w:tab/>
        <w:t xml:space="preserve">רמ"ש (חי') 55826-01-23 </w:t>
      </w:r>
      <w:r>
        <w:rPr>
          <w:rFonts w:ascii="David" w:hAnsi="David"/>
          <w:b/>
          <w:bCs/>
          <w:rtl/>
        </w:rPr>
        <w:t>ח' נ' ח' ואח'</w:t>
      </w:r>
      <w:r>
        <w:rPr>
          <w:rFonts w:ascii="David" w:hAnsi="David"/>
          <w:rtl/>
        </w:rPr>
        <w:t xml:space="preserve"> (16.3.2023);</w:t>
      </w:r>
    </w:p>
    <w:p w:rsidR="00CB66DA" w:rsidRDefault="00CB66DA" w:rsidP="00CB66DA">
      <w:pPr>
        <w:spacing w:after="120" w:line="360" w:lineRule="auto"/>
        <w:ind w:left="720" w:hanging="720"/>
        <w:jc w:val="both"/>
        <w:rPr>
          <w:rFonts w:ascii="David" w:hAnsi="David"/>
          <w:rtl/>
        </w:rPr>
      </w:pPr>
      <w:r>
        <w:rPr>
          <w:rFonts w:ascii="David" w:hAnsi="David"/>
          <w:rtl/>
        </w:rPr>
        <w:tab/>
        <w:t xml:space="preserve">רמ"ש (חי') 40232-09-21 </w:t>
      </w:r>
      <w:r>
        <w:rPr>
          <w:rFonts w:ascii="David" w:hAnsi="David"/>
          <w:b/>
          <w:bCs/>
          <w:rtl/>
        </w:rPr>
        <w:t>פלוני ז"ל נ' מ.מ</w:t>
      </w:r>
      <w:r>
        <w:rPr>
          <w:rFonts w:ascii="David" w:hAnsi="David"/>
          <w:rtl/>
        </w:rPr>
        <w:t>, פסקה 16 (3.10.2021).</w:t>
      </w:r>
    </w:p>
    <w:p w:rsidR="00CB66DA" w:rsidRPr="000263F9" w:rsidRDefault="00CB66DA" w:rsidP="00CB66DA">
      <w:pPr>
        <w:spacing w:after="120" w:line="360" w:lineRule="auto"/>
        <w:jc w:val="both"/>
        <w:rPr>
          <w:rFonts w:ascii="David" w:hAnsi="David"/>
          <w:rtl/>
        </w:rPr>
      </w:pPr>
      <w:r>
        <w:rPr>
          <w:rFonts w:ascii="David" w:hAnsi="David"/>
          <w:rtl/>
        </w:rPr>
        <w:lastRenderedPageBreak/>
        <w:tab/>
      </w:r>
      <w:r>
        <w:rPr>
          <w:rFonts w:ascii="David" w:hAnsi="David"/>
          <w:b/>
          <w:bCs/>
          <w:rtl/>
        </w:rPr>
        <w:t>לא מצאתי כי ההחלטה קמא נופלת לגדר אותם מקרים חריגים.</w:t>
      </w:r>
    </w:p>
    <w:p w:rsidR="00CB66DA" w:rsidRDefault="00CB66DA" w:rsidP="00CB66DA">
      <w:pPr>
        <w:spacing w:after="120" w:line="360" w:lineRule="auto"/>
        <w:ind w:left="709" w:hanging="709"/>
        <w:jc w:val="both"/>
        <w:rPr>
          <w:rFonts w:ascii="David" w:hAnsi="David"/>
          <w:rtl/>
        </w:rPr>
      </w:pPr>
      <w:r w:rsidRPr="000263F9">
        <w:rPr>
          <w:rFonts w:ascii="David" w:hAnsi="David" w:hint="cs"/>
          <w:rtl/>
        </w:rPr>
        <w:t>32.</w:t>
      </w:r>
      <w:r w:rsidRPr="000263F9">
        <w:rPr>
          <w:rFonts w:ascii="David" w:hAnsi="David" w:hint="cs"/>
          <w:rtl/>
        </w:rPr>
        <w:tab/>
      </w:r>
      <w:r>
        <w:rPr>
          <w:rFonts w:ascii="David" w:hAnsi="David"/>
          <w:rtl/>
        </w:rPr>
        <w:tab/>
      </w:r>
      <w:r>
        <w:rPr>
          <w:rFonts w:ascii="David" w:hAnsi="David" w:hint="cs"/>
          <w:rtl/>
        </w:rPr>
        <w:t xml:space="preserve">על כל גורם בתיק קמא, בין אם פסיכולוג ובין אם עו"ס, להגיש חוות דעת מקצועית ועצמאית מטעמו. תפקידו של בית המשפט, בתום הליך הוכחות מסודר, לקבוע איזה מההמלצות המונחות לפניו יאומצו במקרה הנדון, </w:t>
      </w:r>
      <w:r w:rsidR="005822C0">
        <w:rPr>
          <w:rFonts w:ascii="David" w:hAnsi="David" w:hint="cs"/>
          <w:rtl/>
        </w:rPr>
        <w:t xml:space="preserve">או את השילוב ביניהן, </w:t>
      </w:r>
      <w:r>
        <w:rPr>
          <w:rFonts w:ascii="David" w:hAnsi="David" w:hint="cs"/>
          <w:rtl/>
        </w:rPr>
        <w:t>תוך שינמק קביעותיו. בשלב זה, ובטרם נשמעו הוכחות בתיק קמא, לא ניתנת עדיפות למי מחוות הדעת ו/או המסקנות וההמלצות הנובעות ממנה.</w:t>
      </w:r>
    </w:p>
    <w:p w:rsidR="00CB66DA" w:rsidRDefault="00CB66DA" w:rsidP="00CB66DA">
      <w:pPr>
        <w:spacing w:after="120" w:line="360" w:lineRule="auto"/>
        <w:ind w:left="567" w:hanging="567"/>
        <w:jc w:val="both"/>
        <w:rPr>
          <w:rFonts w:ascii="David" w:hAnsi="David"/>
          <w:rtl/>
        </w:rPr>
      </w:pPr>
      <w:r>
        <w:rPr>
          <w:rFonts w:ascii="David" w:hAnsi="David"/>
          <w:rtl/>
        </w:rPr>
        <w:tab/>
      </w:r>
      <w:r>
        <w:rPr>
          <w:rFonts w:ascii="David" w:hAnsi="David"/>
          <w:rtl/>
        </w:rPr>
        <w:tab/>
      </w:r>
      <w:r w:rsidRPr="000263F9">
        <w:rPr>
          <w:rFonts w:ascii="David" w:hAnsi="David" w:hint="cs"/>
          <w:u w:val="single"/>
          <w:rtl/>
        </w:rPr>
        <w:t>ראו לעניין זה</w:t>
      </w:r>
      <w:r>
        <w:rPr>
          <w:rFonts w:ascii="David" w:hAnsi="David" w:hint="cs"/>
          <w:rtl/>
        </w:rPr>
        <w:t>:</w:t>
      </w:r>
    </w:p>
    <w:p w:rsidR="00CB66DA" w:rsidRDefault="00CB66DA" w:rsidP="00CB66DA">
      <w:pPr>
        <w:spacing w:after="120" w:line="360" w:lineRule="auto"/>
        <w:ind w:left="567" w:hanging="567"/>
        <w:rPr>
          <w:rFonts w:ascii="David" w:hAnsi="David"/>
          <w:rtl/>
        </w:rPr>
      </w:pPr>
      <w:r>
        <w:rPr>
          <w:rFonts w:ascii="David" w:hAnsi="David"/>
          <w:rtl/>
        </w:rPr>
        <w:tab/>
      </w:r>
      <w:r>
        <w:rPr>
          <w:rFonts w:ascii="David" w:hAnsi="David"/>
          <w:rtl/>
        </w:rPr>
        <w:tab/>
        <w:t xml:space="preserve">בע"מ 27/06 </w:t>
      </w:r>
      <w:r w:rsidRPr="000263F9">
        <w:rPr>
          <w:rFonts w:ascii="David" w:hAnsi="David"/>
          <w:b/>
          <w:bCs/>
          <w:rtl/>
        </w:rPr>
        <w:t>פלוני נ' פלוני</w:t>
      </w:r>
      <w:r>
        <w:rPr>
          <w:rFonts w:ascii="David" w:hAnsi="David" w:hint="cs"/>
          <w:rtl/>
        </w:rPr>
        <w:t xml:space="preserve"> </w:t>
      </w:r>
      <w:r w:rsidRPr="000263F9">
        <w:rPr>
          <w:rFonts w:ascii="David" w:hAnsi="David"/>
          <w:rtl/>
        </w:rPr>
        <w:t>(1.5.06) פסק</w:t>
      </w:r>
      <w:r>
        <w:rPr>
          <w:rFonts w:ascii="David" w:hAnsi="David"/>
          <w:rtl/>
        </w:rPr>
        <w:t>ה 15</w:t>
      </w:r>
      <w:r>
        <w:rPr>
          <w:rFonts w:ascii="David" w:hAnsi="David" w:hint="cs"/>
          <w:rtl/>
        </w:rPr>
        <w:t>;</w:t>
      </w:r>
    </w:p>
    <w:p w:rsidR="00CB66DA" w:rsidRPr="000263F9" w:rsidRDefault="00CB66DA" w:rsidP="00CB66DA">
      <w:pPr>
        <w:spacing w:after="120" w:line="360" w:lineRule="auto"/>
        <w:ind w:left="567" w:hanging="567"/>
        <w:rPr>
          <w:rFonts w:ascii="David" w:hAnsi="David"/>
          <w:rtl/>
        </w:rPr>
      </w:pPr>
      <w:r>
        <w:rPr>
          <w:rFonts w:ascii="David" w:hAnsi="David"/>
          <w:rtl/>
        </w:rPr>
        <w:tab/>
      </w:r>
      <w:r>
        <w:rPr>
          <w:rFonts w:ascii="David" w:hAnsi="David"/>
          <w:rtl/>
        </w:rPr>
        <w:tab/>
      </w:r>
      <w:r w:rsidRPr="000263F9">
        <w:rPr>
          <w:rFonts w:ascii="David" w:hAnsi="David"/>
          <w:rtl/>
        </w:rPr>
        <w:t xml:space="preserve">בע"מ 9358/04 </w:t>
      </w:r>
      <w:r w:rsidRPr="000263F9">
        <w:rPr>
          <w:rFonts w:ascii="David" w:hAnsi="David"/>
          <w:b/>
          <w:bCs/>
          <w:rtl/>
        </w:rPr>
        <w:t>פלונית נ' פלוני</w:t>
      </w:r>
      <w:r w:rsidRPr="000263F9">
        <w:rPr>
          <w:rFonts w:ascii="David" w:hAnsi="David"/>
          <w:rtl/>
        </w:rPr>
        <w:t xml:space="preserve"> </w:t>
      </w:r>
      <w:r>
        <w:rPr>
          <w:rFonts w:ascii="David" w:hAnsi="David"/>
          <w:rtl/>
        </w:rPr>
        <w:t>(2.5.05)</w:t>
      </w:r>
      <w:r>
        <w:rPr>
          <w:rFonts w:ascii="David" w:hAnsi="David" w:hint="cs"/>
          <w:rtl/>
        </w:rPr>
        <w:t>.</w:t>
      </w:r>
    </w:p>
    <w:p w:rsidR="00CB66DA" w:rsidRDefault="00CB66DA" w:rsidP="00CB66DA">
      <w:pPr>
        <w:spacing w:after="120" w:line="360" w:lineRule="auto"/>
        <w:ind w:left="720" w:hanging="720"/>
        <w:jc w:val="both"/>
        <w:rPr>
          <w:rFonts w:ascii="David" w:hAnsi="David"/>
          <w:rtl/>
        </w:rPr>
      </w:pPr>
      <w:r>
        <w:rPr>
          <w:rFonts w:ascii="David" w:hAnsi="David" w:hint="cs"/>
          <w:rtl/>
        </w:rPr>
        <w:t>33</w:t>
      </w:r>
      <w:r>
        <w:rPr>
          <w:rFonts w:ascii="David" w:hAnsi="David"/>
          <w:rtl/>
        </w:rPr>
        <w:t>.</w:t>
      </w:r>
      <w:r>
        <w:rPr>
          <w:rFonts w:ascii="David" w:hAnsi="David"/>
          <w:rtl/>
        </w:rPr>
        <w:tab/>
      </w:r>
      <w:r>
        <w:rPr>
          <w:rFonts w:ascii="David" w:hAnsi="David"/>
          <w:b/>
          <w:bCs/>
          <w:rtl/>
        </w:rPr>
        <w:t>לנוכח האמור לעיל, לא מצאתי להתערב בהחלטה קמא, ואני מורה על דחיית בקשת רשות הערעור</w:t>
      </w:r>
      <w:r>
        <w:rPr>
          <w:rFonts w:ascii="David" w:hAnsi="David" w:hint="cs"/>
          <w:b/>
          <w:bCs/>
          <w:rtl/>
        </w:rPr>
        <w:t xml:space="preserve"> ברכיב זה של ההחלטה מיום 7.11.24</w:t>
      </w:r>
      <w:r>
        <w:rPr>
          <w:rFonts w:ascii="David" w:hAnsi="David"/>
          <w:b/>
          <w:bCs/>
          <w:rtl/>
        </w:rPr>
        <w:t>.</w:t>
      </w:r>
    </w:p>
    <w:p w:rsidR="00CB66DA" w:rsidRDefault="00CB66DA" w:rsidP="002A5CB7">
      <w:pPr>
        <w:spacing w:after="120" w:line="360" w:lineRule="auto"/>
        <w:ind w:left="720" w:hanging="720"/>
        <w:jc w:val="both"/>
        <w:rPr>
          <w:rFonts w:ascii="David" w:hAnsi="David"/>
          <w:rtl/>
        </w:rPr>
      </w:pPr>
      <w:r>
        <w:rPr>
          <w:rFonts w:ascii="David" w:hAnsi="David" w:hint="cs"/>
          <w:rtl/>
        </w:rPr>
        <w:t>34.</w:t>
      </w:r>
      <w:r>
        <w:rPr>
          <w:rFonts w:ascii="David" w:hAnsi="David" w:hint="cs"/>
          <w:rtl/>
        </w:rPr>
        <w:tab/>
      </w:r>
      <w:r w:rsidRPr="005822C0">
        <w:rPr>
          <w:rFonts w:ascii="David" w:hAnsi="David" w:hint="cs"/>
          <w:u w:val="single"/>
          <w:rtl/>
        </w:rPr>
        <w:t>בכל הקשור להחלטות האחרות לגביהן התבקשה רשות ערעור</w:t>
      </w:r>
      <w:r>
        <w:rPr>
          <w:rFonts w:ascii="David" w:hAnsi="David" w:hint="cs"/>
          <w:rtl/>
        </w:rPr>
        <w:t xml:space="preserve"> </w:t>
      </w:r>
      <w:r>
        <w:rPr>
          <w:rFonts w:ascii="David" w:hAnsi="David"/>
          <w:rtl/>
        </w:rPr>
        <w:t>–</w:t>
      </w:r>
      <w:r>
        <w:rPr>
          <w:rFonts w:ascii="David" w:hAnsi="David" w:hint="cs"/>
          <w:rtl/>
        </w:rPr>
        <w:t xml:space="preserve"> אי פסילת האפטורופא לדין של הקטינה; אי מתן אפשרות למבקש להקליט את מפגשיו עם רשויות הרווחה; הסירוב לערב בשלב זה את מחלקת הרווחה בעיריית </w:t>
      </w:r>
      <w:r w:rsidR="002A5CB7">
        <w:rPr>
          <w:rFonts w:ascii="David" w:hAnsi="David" w:hint="cs"/>
        </w:rPr>
        <w:t>X</w:t>
      </w:r>
      <w:r>
        <w:rPr>
          <w:rFonts w:ascii="David" w:hAnsi="David" w:hint="cs"/>
          <w:rtl/>
        </w:rPr>
        <w:t>; אי מינוי מתאם הורי לעת זו; השתת קנס על המבקש ככל שלא יגיע ל</w:t>
      </w:r>
      <w:r w:rsidR="002A5CB7">
        <w:rPr>
          <w:rFonts w:ascii="David" w:hAnsi="David" w:hint="cs"/>
          <w:rtl/>
        </w:rPr>
        <w:t>מפגש שנקבע עמו במחלקת הרווחה ב-</w:t>
      </w:r>
      <w:r w:rsidR="002A5CB7">
        <w:rPr>
          <w:rFonts w:ascii="David" w:hAnsi="David" w:hint="cs"/>
        </w:rPr>
        <w:t>Y</w:t>
      </w:r>
      <w:r>
        <w:rPr>
          <w:rFonts w:ascii="David" w:hAnsi="David" w:hint="cs"/>
          <w:rtl/>
        </w:rPr>
        <w:t xml:space="preserve">; דחיית בקשתו לעיון חוזר ובקשת ההבהרה </w:t>
      </w:r>
      <w:r>
        <w:rPr>
          <w:rFonts w:ascii="David" w:hAnsi="David"/>
          <w:rtl/>
        </w:rPr>
        <w:t>–</w:t>
      </w:r>
      <w:r>
        <w:rPr>
          <w:rFonts w:ascii="David" w:hAnsi="David" w:hint="cs"/>
          <w:rtl/>
        </w:rPr>
        <w:t xml:space="preserve"> </w:t>
      </w:r>
      <w:r w:rsidRPr="00257B26">
        <w:rPr>
          <w:rFonts w:ascii="David" w:hAnsi="David" w:hint="cs"/>
          <w:b/>
          <w:bCs/>
          <w:rtl/>
        </w:rPr>
        <w:t>כל אלו הן החלטות דיוניות, אשר מצויות בליבת שיקול הדעת של בית משפט קמא (כדברינו בסעיף 31 לעיל), ולא מצאתי</w:t>
      </w:r>
      <w:r w:rsidR="005822C0">
        <w:rPr>
          <w:rFonts w:ascii="David" w:hAnsi="David" w:hint="cs"/>
          <w:b/>
          <w:bCs/>
          <w:rtl/>
        </w:rPr>
        <w:t xml:space="preserve"> מקום או</w:t>
      </w:r>
      <w:r w:rsidRPr="00257B26">
        <w:rPr>
          <w:rFonts w:ascii="David" w:hAnsi="David" w:hint="cs"/>
          <w:b/>
          <w:bCs/>
          <w:rtl/>
        </w:rPr>
        <w:t xml:space="preserve"> </w:t>
      </w:r>
      <w:r>
        <w:rPr>
          <w:rFonts w:ascii="David" w:hAnsi="David" w:hint="cs"/>
          <w:b/>
          <w:bCs/>
          <w:rtl/>
        </w:rPr>
        <w:t>הצדקה</w:t>
      </w:r>
      <w:r w:rsidRPr="00257B26">
        <w:rPr>
          <w:rFonts w:ascii="David" w:hAnsi="David" w:hint="cs"/>
          <w:b/>
          <w:bCs/>
          <w:rtl/>
        </w:rPr>
        <w:t xml:space="preserve"> להתערב בהן</w:t>
      </w:r>
      <w:r>
        <w:rPr>
          <w:rFonts w:ascii="David" w:hAnsi="David" w:hint="cs"/>
          <w:rtl/>
        </w:rPr>
        <w:t>.</w:t>
      </w:r>
    </w:p>
    <w:p w:rsidR="00CB66DA" w:rsidRDefault="00CB66DA" w:rsidP="00CB66DA">
      <w:pPr>
        <w:spacing w:after="120" w:line="360" w:lineRule="auto"/>
        <w:ind w:left="720" w:hanging="720"/>
        <w:jc w:val="both"/>
        <w:rPr>
          <w:rFonts w:ascii="David" w:hAnsi="David"/>
          <w:rtl/>
        </w:rPr>
      </w:pPr>
      <w:r>
        <w:rPr>
          <w:rFonts w:ascii="David" w:hAnsi="David" w:hint="cs"/>
          <w:rtl/>
        </w:rPr>
        <w:t>35.</w:t>
      </w:r>
      <w:r>
        <w:rPr>
          <w:rFonts w:ascii="David" w:hAnsi="David" w:hint="cs"/>
          <w:rtl/>
        </w:rPr>
        <w:tab/>
        <w:t xml:space="preserve">בכל הקשור להחלטה מיום 27.11.24, לא ירדתי לסוף דעתו של המבקש בעניין זה. מלשון ההחלטה קמא עולה ברורות כי </w:t>
      </w:r>
      <w:r>
        <w:rPr>
          <w:rFonts w:hint="cs"/>
          <w:b/>
          <w:bCs/>
          <w:rtl/>
        </w:rPr>
        <w:t>"</w:t>
      </w:r>
      <w:r w:rsidRPr="00790DC6">
        <w:rPr>
          <w:b/>
          <w:bCs/>
          <w:rtl/>
        </w:rPr>
        <w:t>החלטה בבקשת האב תינתן לאחר שיוגשו</w:t>
      </w:r>
      <w:r w:rsidRPr="00790DC6">
        <w:rPr>
          <w:rFonts w:hint="cs"/>
          <w:b/>
          <w:bCs/>
          <w:rtl/>
        </w:rPr>
        <w:t xml:space="preserve"> </w:t>
      </w:r>
      <w:r w:rsidRPr="00790DC6">
        <w:rPr>
          <w:b/>
          <w:bCs/>
          <w:rtl/>
        </w:rPr>
        <w:t>תגובות האם והאפוט' לדין, כמתחייב</w:t>
      </w:r>
      <w:r w:rsidRPr="00790DC6">
        <w:rPr>
          <w:rFonts w:hint="cs"/>
          <w:b/>
          <w:bCs/>
          <w:rtl/>
        </w:rPr>
        <w:t xml:space="preserve"> </w:t>
      </w:r>
      <w:r w:rsidRPr="00790DC6">
        <w:rPr>
          <w:b/>
          <w:bCs/>
          <w:rtl/>
        </w:rPr>
        <w:t>מהחלטתי מיום 25.11.24</w:t>
      </w:r>
      <w:r>
        <w:rPr>
          <w:rFonts w:hint="cs"/>
          <w:b/>
          <w:bCs/>
          <w:rtl/>
        </w:rPr>
        <w:t>...</w:t>
      </w:r>
      <w:r w:rsidRPr="00257B26">
        <w:rPr>
          <w:rFonts w:hint="cs"/>
          <w:rtl/>
        </w:rPr>
        <w:t xml:space="preserve">". </w:t>
      </w:r>
      <w:r>
        <w:rPr>
          <w:rFonts w:ascii="David" w:hAnsi="David" w:hint="cs"/>
          <w:rtl/>
        </w:rPr>
        <w:t xml:space="preserve">המבקש טען בבקשת רשות הערעור, כי ניתנה החלטה מבלי לבקש את תגובתו, אולם כאמור לא כך היא. </w:t>
      </w:r>
    </w:p>
    <w:p w:rsidR="00CB66DA" w:rsidRDefault="00CB66DA" w:rsidP="00CB66DA">
      <w:pPr>
        <w:spacing w:after="120" w:line="360" w:lineRule="auto"/>
        <w:ind w:left="720" w:hanging="720"/>
        <w:jc w:val="both"/>
        <w:rPr>
          <w:rFonts w:ascii="David" w:hAnsi="David"/>
          <w:rtl/>
        </w:rPr>
      </w:pPr>
      <w:r>
        <w:rPr>
          <w:rFonts w:ascii="David" w:hAnsi="David"/>
          <w:rtl/>
        </w:rPr>
        <w:tab/>
      </w:r>
      <w:r>
        <w:rPr>
          <w:rFonts w:ascii="David" w:hAnsi="David" w:hint="cs"/>
          <w:rtl/>
        </w:rPr>
        <w:t>בחלקה השני של אותה החלטה, התבקש המבקש לה</w:t>
      </w:r>
      <w:r w:rsidRPr="007C4307">
        <w:rPr>
          <w:rFonts w:ascii="David" w:hAnsi="David"/>
          <w:rtl/>
        </w:rPr>
        <w:t>ודיע לעו"ס מהו המועד המתאים לו</w:t>
      </w:r>
      <w:r>
        <w:rPr>
          <w:rFonts w:ascii="David" w:hAnsi="David" w:hint="cs"/>
          <w:rtl/>
        </w:rPr>
        <w:t>,</w:t>
      </w:r>
      <w:r w:rsidRPr="007C4307">
        <w:rPr>
          <w:rFonts w:ascii="David" w:hAnsi="David"/>
          <w:rtl/>
        </w:rPr>
        <w:t xml:space="preserve"> מבי</w:t>
      </w:r>
      <w:r>
        <w:rPr>
          <w:rFonts w:ascii="David" w:hAnsi="David"/>
          <w:rtl/>
        </w:rPr>
        <w:t xml:space="preserve">ן המועדים המפורטים בעדכון </w:t>
      </w:r>
      <w:r>
        <w:rPr>
          <w:rFonts w:ascii="David" w:hAnsi="David" w:hint="cs"/>
          <w:rtl/>
        </w:rPr>
        <w:t>העו"ס,</w:t>
      </w:r>
      <w:r w:rsidRPr="007C4307">
        <w:rPr>
          <w:rFonts w:ascii="David" w:hAnsi="David"/>
          <w:rtl/>
        </w:rPr>
        <w:t xml:space="preserve"> </w:t>
      </w:r>
      <w:r>
        <w:rPr>
          <w:rFonts w:ascii="David" w:hAnsi="David" w:hint="cs"/>
          <w:rtl/>
        </w:rPr>
        <w:t>להגיע</w:t>
      </w:r>
      <w:r w:rsidRPr="007C4307">
        <w:rPr>
          <w:rFonts w:ascii="David" w:hAnsi="David"/>
          <w:rtl/>
        </w:rPr>
        <w:t xml:space="preserve"> למפגש </w:t>
      </w:r>
      <w:r>
        <w:rPr>
          <w:rFonts w:ascii="David" w:hAnsi="David" w:hint="cs"/>
          <w:rtl/>
        </w:rPr>
        <w:t xml:space="preserve">ולשתף פעולה עם העו"ס, על מנת שהתסקיר יהיה מוכן לפני הדיון הקבוע בתיק קמא, ביום 22.1.25. </w:t>
      </w:r>
    </w:p>
    <w:p w:rsidR="00CB66DA" w:rsidRDefault="00CB66DA" w:rsidP="00CB66DA">
      <w:pPr>
        <w:spacing w:after="120" w:line="360" w:lineRule="auto"/>
        <w:ind w:left="720" w:hanging="720"/>
        <w:jc w:val="both"/>
        <w:rPr>
          <w:rFonts w:ascii="David" w:hAnsi="David"/>
          <w:rtl/>
        </w:rPr>
      </w:pPr>
      <w:r>
        <w:rPr>
          <w:rFonts w:ascii="David" w:hAnsi="David"/>
          <w:rtl/>
        </w:rPr>
        <w:tab/>
      </w:r>
      <w:r w:rsidRPr="005F7331">
        <w:rPr>
          <w:rFonts w:ascii="David" w:hAnsi="David" w:hint="cs"/>
          <w:b/>
          <w:bCs/>
          <w:rtl/>
        </w:rPr>
        <w:t>אינני רואה הצדקה אף להתערב בחלק זה של ההחלטה קמא (ככל שלכך התכוון המבקש בבקשתו), מאחר שמצופה מצד להליך, כל שכן תובע (כבמקרה דנן), לשתף פעולה עם הגורמים השונים, על מנת לזרז את הטיפול בעניינו ולהגיע מוכן לדיון ההוכחות הקבוע בתיק.</w:t>
      </w:r>
      <w:r>
        <w:rPr>
          <w:rFonts w:ascii="David" w:hAnsi="David" w:hint="cs"/>
          <w:rtl/>
        </w:rPr>
        <w:t xml:space="preserve"> </w:t>
      </w:r>
    </w:p>
    <w:p w:rsidR="00CB66DA" w:rsidRDefault="00CB66DA" w:rsidP="00CB66DA">
      <w:pPr>
        <w:spacing w:after="120" w:line="360" w:lineRule="auto"/>
        <w:ind w:left="720" w:hanging="720"/>
        <w:jc w:val="both"/>
        <w:rPr>
          <w:rFonts w:ascii="David" w:hAnsi="David"/>
          <w:rtl/>
        </w:rPr>
      </w:pPr>
    </w:p>
    <w:p w:rsidR="00CB66DA" w:rsidRPr="00DF401E" w:rsidRDefault="00CB66DA" w:rsidP="00CB66DA">
      <w:pPr>
        <w:spacing w:after="120" w:line="360" w:lineRule="auto"/>
        <w:ind w:left="720" w:hanging="720"/>
        <w:jc w:val="both"/>
        <w:rPr>
          <w:rFonts w:ascii="David" w:hAnsi="David"/>
          <w:b/>
          <w:bCs/>
          <w:u w:val="single"/>
          <w:rtl/>
        </w:rPr>
      </w:pPr>
      <w:r w:rsidRPr="00DF401E">
        <w:rPr>
          <w:rFonts w:ascii="David" w:hAnsi="David" w:hint="cs"/>
          <w:b/>
          <w:bCs/>
          <w:u w:val="single"/>
          <w:rtl/>
        </w:rPr>
        <w:t>סוף דבר</w:t>
      </w:r>
    </w:p>
    <w:p w:rsidR="00CB66DA" w:rsidRDefault="00CB66DA" w:rsidP="00CB66DA">
      <w:pPr>
        <w:spacing w:after="120" w:line="360" w:lineRule="auto"/>
        <w:ind w:left="720" w:hanging="720"/>
        <w:jc w:val="both"/>
        <w:rPr>
          <w:rFonts w:ascii="David" w:hAnsi="David"/>
          <w:rtl/>
        </w:rPr>
      </w:pPr>
      <w:r>
        <w:rPr>
          <w:rFonts w:ascii="David" w:hAnsi="David" w:hint="cs"/>
          <w:rtl/>
        </w:rPr>
        <w:t>36.</w:t>
      </w:r>
      <w:r>
        <w:rPr>
          <w:rFonts w:ascii="David" w:hAnsi="David" w:hint="cs"/>
          <w:rtl/>
        </w:rPr>
        <w:tab/>
      </w:r>
      <w:r w:rsidRPr="00DF401E">
        <w:rPr>
          <w:rFonts w:ascii="David" w:hAnsi="David" w:hint="cs"/>
          <w:b/>
          <w:bCs/>
          <w:rtl/>
        </w:rPr>
        <w:t xml:space="preserve">דין בקשת רשות הערעור לעניין שבע ההחלטות בגינן הוגשה בקשת רשות הערעור </w:t>
      </w:r>
      <w:r w:rsidRPr="00DF401E">
        <w:rPr>
          <w:rFonts w:ascii="David" w:hAnsi="David"/>
          <w:b/>
          <w:bCs/>
          <w:rtl/>
        </w:rPr>
        <w:t>–</w:t>
      </w:r>
      <w:r w:rsidRPr="00DF401E">
        <w:rPr>
          <w:rFonts w:ascii="David" w:hAnsi="David" w:hint="cs"/>
          <w:b/>
          <w:bCs/>
          <w:rtl/>
        </w:rPr>
        <w:t xml:space="preserve"> להידחות</w:t>
      </w:r>
      <w:r>
        <w:rPr>
          <w:rFonts w:ascii="David" w:hAnsi="David" w:hint="cs"/>
          <w:rtl/>
        </w:rPr>
        <w:t>.</w:t>
      </w:r>
    </w:p>
    <w:p w:rsidR="00CB66DA" w:rsidRDefault="00CB66DA" w:rsidP="00CB66DA">
      <w:pPr>
        <w:spacing w:after="240" w:line="360" w:lineRule="auto"/>
        <w:ind w:left="720" w:hanging="720"/>
        <w:jc w:val="both"/>
        <w:rPr>
          <w:rFonts w:ascii="David" w:hAnsi="David"/>
          <w:rtl/>
        </w:rPr>
      </w:pPr>
      <w:r>
        <w:rPr>
          <w:rFonts w:ascii="David" w:hAnsi="David" w:hint="cs"/>
          <w:rtl/>
        </w:rPr>
        <w:t>37</w:t>
      </w:r>
      <w:r>
        <w:rPr>
          <w:rFonts w:ascii="David" w:hAnsi="David"/>
          <w:rtl/>
        </w:rPr>
        <w:t>.</w:t>
      </w:r>
      <w:r>
        <w:rPr>
          <w:rFonts w:ascii="David" w:hAnsi="David"/>
          <w:rtl/>
        </w:rPr>
        <w:tab/>
        <w:t>משלא נתבקשה תשובה – אין צו להוצאות.</w:t>
      </w:r>
    </w:p>
    <w:p w:rsidR="00CB66DA" w:rsidRDefault="00CB66DA" w:rsidP="00CB66DA">
      <w:pPr>
        <w:spacing w:after="240" w:line="360" w:lineRule="auto"/>
        <w:ind w:left="720" w:hanging="720"/>
        <w:jc w:val="both"/>
        <w:rPr>
          <w:rFonts w:ascii="David" w:hAnsi="David"/>
          <w:b/>
          <w:bCs/>
          <w:rtl/>
        </w:rPr>
      </w:pPr>
      <w:r>
        <w:rPr>
          <w:rFonts w:ascii="David" w:hAnsi="David"/>
          <w:b/>
          <w:bCs/>
          <w:rtl/>
        </w:rPr>
        <w:lastRenderedPageBreak/>
        <w:t>המזכירות תעביר החלטה זו לצדדים.</w:t>
      </w:r>
    </w:p>
    <w:p w:rsidR="00694556" w:rsidRDefault="00CB66DA" w:rsidP="00CB66DA">
      <w:pPr>
        <w:spacing w:after="360" w:line="360" w:lineRule="auto"/>
        <w:ind w:left="720" w:hanging="720"/>
        <w:jc w:val="both"/>
        <w:rPr>
          <w:rFonts w:ascii="Arial" w:hAnsi="Arial"/>
          <w:noProof w:val="0"/>
          <w:rtl/>
        </w:rPr>
      </w:pPr>
      <w:r>
        <w:rPr>
          <w:rFonts w:ascii="David" w:hAnsi="David"/>
          <w:b/>
          <w:bCs/>
          <w:rtl/>
        </w:rPr>
        <w:t>החלטה זו מותרת לפרסום תוך השמטת שמות הצדדים וכל פרט מזה</w:t>
      </w:r>
      <w:r>
        <w:rPr>
          <w:rFonts w:ascii="David" w:hAnsi="David" w:hint="cs"/>
          <w:b/>
          <w:bCs/>
          <w:rtl/>
        </w:rPr>
        <w:t>ה אחר.</w:t>
      </w:r>
    </w:p>
    <w:p w:rsidR="00037114" w:rsidRDefault="00037114" w:rsidP="00CB66DA">
      <w:pPr>
        <w:spacing w:after="360" w:line="360" w:lineRule="auto"/>
        <w:ind w:left="720" w:hanging="720"/>
        <w:jc w:val="both"/>
        <w:rPr>
          <w:rFonts w:ascii="Arial" w:hAnsi="Arial"/>
          <w:noProof w:val="0"/>
          <w:rtl/>
        </w:rPr>
      </w:pPr>
    </w:p>
    <w:p w:rsidR="00037114" w:rsidRPr="00B95D6E" w:rsidRDefault="00037114" w:rsidP="00CB66DA">
      <w:pPr>
        <w:spacing w:after="360" w:line="360" w:lineRule="auto"/>
        <w:ind w:left="720" w:hanging="720"/>
        <w:jc w:val="both"/>
        <w:rPr>
          <w:rFonts w:ascii="Arial" w:hAnsi="Arial"/>
          <w:noProof w:val="0"/>
          <w:rtl/>
        </w:rPr>
      </w:pPr>
    </w:p>
    <w:p w:rsidR="00C43648" w:rsidRDefault="0043502B" w:rsidP="00037114">
      <w:pPr>
        <w:tabs>
          <w:tab w:val="left" w:pos="6634"/>
        </w:tabs>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דצמבר 2024</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r w:rsidR="00037114">
        <w:rPr>
          <w:rtl/>
        </w:rPr>
        <w:tab/>
      </w:r>
    </w:p>
    <w:p w:rsidR="00037114" w:rsidRDefault="00037114" w:rsidP="00037114">
      <w:pPr>
        <w:tabs>
          <w:tab w:val="left" w:pos="6634"/>
        </w:tabs>
        <w:spacing w:line="360" w:lineRule="auto"/>
        <w:jc w:val="both"/>
        <w:rPr>
          <w:rtl/>
        </w:rPr>
      </w:pP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75082980"/>
        </w:sdtPr>
        <w:sdtEndPr/>
        <w:sdtContent>
          <w:r w:rsidR="007D2580">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052FBA">
      <w:headerReference w:type="even" r:id="rId8"/>
      <w:headerReference w:type="default" r:id="rId9"/>
      <w:footerReference w:type="even" r:id="rId10"/>
      <w:footerReference w:type="default" r:id="rId11"/>
      <w:headerReference w:type="first" r:id="rId12"/>
      <w:footerReference w:type="first" r:id="rId13"/>
      <w:pgSz w:w="11907" w:h="16840" w:code="9"/>
      <w:pgMar w:top="1440" w:right="850"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99E" w:rsidRDefault="00B5099E">
      <w:r>
        <w:separator/>
      </w:r>
    </w:p>
  </w:endnote>
  <w:endnote w:type="continuationSeparator" w:id="0">
    <w:p w:rsidR="00B5099E" w:rsidRDefault="00B5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E9F" w:rsidRDefault="00255E9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F40716">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F40716">
      <w:rPr>
        <w:rStyle w:val="ab"/>
        <w:rFonts w:ascii="David" w:hAnsi="David"/>
        <w:rtl/>
      </w:rPr>
      <w:t>10</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E9F" w:rsidRDefault="00255E9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99E" w:rsidRDefault="00B5099E">
      <w:r>
        <w:separator/>
      </w:r>
    </w:p>
  </w:footnote>
  <w:footnote w:type="continuationSeparator" w:id="0">
    <w:p w:rsidR="00B5099E" w:rsidRDefault="00B50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E9F" w:rsidRDefault="00255E9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Tr="00CB66DA">
      <w:trPr>
        <w:trHeight w:val="373"/>
        <w:jc w:val="center"/>
      </w:trPr>
      <w:tc>
        <w:tcPr>
          <w:tcW w:w="8721" w:type="dxa"/>
          <w:gridSpan w:val="2"/>
        </w:tcPr>
        <w:p w:rsidR="008D10B2" w:rsidRPr="00CB66DA" w:rsidRDefault="00B5099E" w:rsidP="00DB145D">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4263-12-24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DB145D">
                <w:rPr>
                  <w:b/>
                  <w:bCs/>
                  <w:noProof w:val="0"/>
                  <w:sz w:val="26"/>
                  <w:szCs w:val="26"/>
                  <w:rtl/>
                </w:rPr>
                <w:t>ע</w:t>
              </w:r>
              <w:r w:rsidR="00DB145D">
                <w:rPr>
                  <w:rFonts w:hint="cs"/>
                  <w:b/>
                  <w:bCs/>
                  <w:noProof w:val="0"/>
                  <w:sz w:val="26"/>
                  <w:szCs w:val="26"/>
                  <w:rtl/>
                </w:rPr>
                <w:t>'</w:t>
              </w:r>
              <w:r w:rsidR="00DB145D">
                <w:rPr>
                  <w:b/>
                  <w:bCs/>
                  <w:noProof w:val="0"/>
                  <w:sz w:val="26"/>
                  <w:szCs w:val="26"/>
                  <w:rtl/>
                </w:rPr>
                <w:t xml:space="preserve"> נ' מ</w:t>
              </w:r>
              <w:r w:rsidR="00DB145D">
                <w:rPr>
                  <w:rFonts w:hint="cs"/>
                  <w:b/>
                  <w:bCs/>
                  <w:noProof w:val="0"/>
                  <w:sz w:val="26"/>
                  <w:szCs w:val="26"/>
                  <w:rtl/>
                </w:rPr>
                <w:t>'</w:t>
              </w:r>
              <w:r w:rsidR="00DB145D">
                <w:rPr>
                  <w:b/>
                  <w:bCs/>
                  <w:noProof w:val="0"/>
                  <w:sz w:val="26"/>
                  <w:szCs w:val="26"/>
                  <w:rtl/>
                </w:rPr>
                <w:t xml:space="preserve"> ע</w:t>
              </w:r>
              <w:r w:rsidR="00DB145D">
                <w:rPr>
                  <w:rFonts w:hint="cs"/>
                  <w:b/>
                  <w:bCs/>
                  <w:noProof w:val="0"/>
                  <w:sz w:val="26"/>
                  <w:szCs w:val="26"/>
                  <w:rtl/>
                </w:rPr>
                <w:t>'</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E9F" w:rsidRDefault="00255E9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37114"/>
    <w:rsid w:val="000529D2"/>
    <w:rsid w:val="00052FBA"/>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73255"/>
    <w:rsid w:val="00180519"/>
    <w:rsid w:val="00191C82"/>
    <w:rsid w:val="001A2A13"/>
    <w:rsid w:val="001B6A6C"/>
    <w:rsid w:val="001C4003"/>
    <w:rsid w:val="001D4DBF"/>
    <w:rsid w:val="001E75CA"/>
    <w:rsid w:val="002265FF"/>
    <w:rsid w:val="00235B97"/>
    <w:rsid w:val="00255E9F"/>
    <w:rsid w:val="00271B56"/>
    <w:rsid w:val="002A5CB7"/>
    <w:rsid w:val="002C344E"/>
    <w:rsid w:val="002E75E9"/>
    <w:rsid w:val="002F0B1E"/>
    <w:rsid w:val="00307A6A"/>
    <w:rsid w:val="00307C40"/>
    <w:rsid w:val="00320433"/>
    <w:rsid w:val="003230C7"/>
    <w:rsid w:val="00327E50"/>
    <w:rsid w:val="0033597A"/>
    <w:rsid w:val="00343D89"/>
    <w:rsid w:val="003552F4"/>
    <w:rsid w:val="00362612"/>
    <w:rsid w:val="0036743F"/>
    <w:rsid w:val="003715DD"/>
    <w:rsid w:val="003823E0"/>
    <w:rsid w:val="003A3793"/>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822C0"/>
    <w:rsid w:val="005C0627"/>
    <w:rsid w:val="005C2D68"/>
    <w:rsid w:val="005F280B"/>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1A28"/>
    <w:rsid w:val="007C5BDD"/>
    <w:rsid w:val="007C64B9"/>
    <w:rsid w:val="007D2580"/>
    <w:rsid w:val="007D45E3"/>
    <w:rsid w:val="007E6115"/>
    <w:rsid w:val="007F4609"/>
    <w:rsid w:val="00814468"/>
    <w:rsid w:val="008176A1"/>
    <w:rsid w:val="00820005"/>
    <w:rsid w:val="00841158"/>
    <w:rsid w:val="00844318"/>
    <w:rsid w:val="00851257"/>
    <w:rsid w:val="00863F5D"/>
    <w:rsid w:val="00866DE2"/>
    <w:rsid w:val="00870890"/>
    <w:rsid w:val="00873602"/>
    <w:rsid w:val="00875D12"/>
    <w:rsid w:val="00880F69"/>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099E"/>
    <w:rsid w:val="00B5356E"/>
    <w:rsid w:val="00B62AD7"/>
    <w:rsid w:val="00B66717"/>
    <w:rsid w:val="00B8068F"/>
    <w:rsid w:val="00B809AD"/>
    <w:rsid w:val="00B80CBD"/>
    <w:rsid w:val="00B86096"/>
    <w:rsid w:val="00B95D6E"/>
    <w:rsid w:val="00B964D9"/>
    <w:rsid w:val="00BA0A7C"/>
    <w:rsid w:val="00BA517C"/>
    <w:rsid w:val="00BB3D05"/>
    <w:rsid w:val="00BB73BE"/>
    <w:rsid w:val="00BC2D89"/>
    <w:rsid w:val="00BD1010"/>
    <w:rsid w:val="00BD6531"/>
    <w:rsid w:val="00BE05B2"/>
    <w:rsid w:val="00BF1908"/>
    <w:rsid w:val="00C22D93"/>
    <w:rsid w:val="00C23458"/>
    <w:rsid w:val="00C25D3A"/>
    <w:rsid w:val="00C31120"/>
    <w:rsid w:val="00C34482"/>
    <w:rsid w:val="00C43648"/>
    <w:rsid w:val="00C50A9F"/>
    <w:rsid w:val="00C536DA"/>
    <w:rsid w:val="00C642FA"/>
    <w:rsid w:val="00CA2F02"/>
    <w:rsid w:val="00CB66DA"/>
    <w:rsid w:val="00CC7622"/>
    <w:rsid w:val="00CD516B"/>
    <w:rsid w:val="00CD608F"/>
    <w:rsid w:val="00CE0084"/>
    <w:rsid w:val="00CF6BB7"/>
    <w:rsid w:val="00D04AA4"/>
    <w:rsid w:val="00D27982"/>
    <w:rsid w:val="00D33B86"/>
    <w:rsid w:val="00D44968"/>
    <w:rsid w:val="00D53924"/>
    <w:rsid w:val="00D55D0C"/>
    <w:rsid w:val="00D96D8C"/>
    <w:rsid w:val="00DA6649"/>
    <w:rsid w:val="00DB145D"/>
    <w:rsid w:val="00DC1259"/>
    <w:rsid w:val="00DC1BD2"/>
    <w:rsid w:val="00DC2571"/>
    <w:rsid w:val="00DC487C"/>
    <w:rsid w:val="00DD4335"/>
    <w:rsid w:val="00DE1E7D"/>
    <w:rsid w:val="00DE5AF5"/>
    <w:rsid w:val="00DE6BF6"/>
    <w:rsid w:val="00E0688C"/>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1985"/>
    <w:rsid w:val="00F12D66"/>
    <w:rsid w:val="00F13623"/>
    <w:rsid w:val="00F3236E"/>
    <w:rsid w:val="00F40716"/>
    <w:rsid w:val="00F44D1D"/>
    <w:rsid w:val="00F84B6D"/>
    <w:rsid w:val="00F91F21"/>
    <w:rsid w:val="00F957E8"/>
    <w:rsid w:val="00FA311A"/>
    <w:rsid w:val="00FA5FDA"/>
    <w:rsid w:val="00FA7FD0"/>
    <w:rsid w:val="00FB6AB3"/>
    <w:rsid w:val="00FC4DD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7568F"/>
    <w:rsid w:val="000A4ACE"/>
    <w:rsid w:val="00143061"/>
    <w:rsid w:val="001A0763"/>
    <w:rsid w:val="002C69EB"/>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9B2703"/>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10886AB444B84943BEC11A633368DB01">
    <w:name w:val="10886AB444B84943BEC11A633368DB01"/>
    <w:rsid w:val="0007568F"/>
    <w:pPr>
      <w:bidi/>
      <w:spacing w:after="160" w:line="259" w:lineRule="auto"/>
    </w:pPr>
  </w:style>
  <w:style w:type="paragraph" w:customStyle="1" w:styleId="5112F6AF619F4842A9259F66A22DB208">
    <w:name w:val="5112F6AF619F4842A9259F66A22DB208"/>
    <w:rsid w:val="0007568F"/>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2794</Words>
  <Characters>13970</Characters>
  <Application>Microsoft Office Word</Application>
  <DocSecurity>0</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2024-12-15T08:04:00Z</dcterms:created>
  <dcterms:modified xsi:type="dcterms:W3CDTF">2024-12-15T08:04:00Z</dcterms:modified>
</cp:coreProperties>
</file>